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58518" w14:textId="55820528" w:rsidR="00071A87" w:rsidRPr="00071A87" w:rsidRDefault="00E1748D" w:rsidP="00071A87">
      <w:pPr>
        <w:widowControl w:val="0"/>
        <w:autoSpaceDE w:val="0"/>
        <w:autoSpaceDN w:val="0"/>
        <w:spacing w:before="63" w:line="275" w:lineRule="exact"/>
        <w:ind w:left="5890"/>
      </w:pPr>
      <w:r>
        <w:t>PATVIRTINTA</w:t>
      </w:r>
    </w:p>
    <w:p w14:paraId="365FC1B0" w14:textId="486E152A" w:rsidR="00071A87" w:rsidRPr="00071A87" w:rsidRDefault="00071A87" w:rsidP="00071A87">
      <w:pPr>
        <w:widowControl w:val="0"/>
        <w:autoSpaceDE w:val="0"/>
        <w:autoSpaceDN w:val="0"/>
        <w:ind w:left="5890" w:right="758"/>
      </w:pPr>
      <w:r w:rsidRPr="00071A87">
        <w:t>Neringos savivaldybės tarybos 202</w:t>
      </w:r>
      <w:r>
        <w:t>2</w:t>
      </w:r>
      <w:r w:rsidRPr="00071A87">
        <w:t xml:space="preserve"> m. balandžio </w:t>
      </w:r>
      <w:r>
        <w:t>28</w:t>
      </w:r>
      <w:r w:rsidRPr="00071A87">
        <w:t xml:space="preserve"> d. sprendimu Nr. T1-</w:t>
      </w:r>
      <w:r w:rsidR="004A5ABD">
        <w:t>67</w:t>
      </w:r>
    </w:p>
    <w:p w14:paraId="2E0F564A" w14:textId="29E5BFD4" w:rsidR="001A0453" w:rsidRPr="009C3AC7" w:rsidRDefault="001A0453" w:rsidP="0006786B">
      <w:pPr>
        <w:jc w:val="center"/>
        <w:rPr>
          <w:b/>
        </w:rPr>
      </w:pPr>
    </w:p>
    <w:p w14:paraId="6DFCE7ED" w14:textId="1A5A6CFB" w:rsidR="00AF4890" w:rsidRPr="009C3AC7" w:rsidRDefault="00AF4890" w:rsidP="0006786B">
      <w:pPr>
        <w:jc w:val="center"/>
        <w:rPr>
          <w:b/>
        </w:rPr>
      </w:pPr>
    </w:p>
    <w:p w14:paraId="1A1392A8" w14:textId="77777777" w:rsidR="00AF4890" w:rsidRPr="009C3AC7" w:rsidRDefault="00AF4890" w:rsidP="0006786B">
      <w:pPr>
        <w:jc w:val="center"/>
        <w:rPr>
          <w:b/>
        </w:rPr>
      </w:pPr>
    </w:p>
    <w:p w14:paraId="033952F7" w14:textId="22BFDAF9" w:rsidR="0006786B" w:rsidRPr="009C3AC7" w:rsidRDefault="0006786B" w:rsidP="0006786B">
      <w:pPr>
        <w:jc w:val="center"/>
        <w:rPr>
          <w:b/>
        </w:rPr>
      </w:pPr>
      <w:r w:rsidRPr="009C3AC7">
        <w:rPr>
          <w:b/>
        </w:rPr>
        <w:t>VIEŠOSIOS ĮSTAIGOS</w:t>
      </w:r>
    </w:p>
    <w:p w14:paraId="1CD7020C" w14:textId="78ACF6C8" w:rsidR="0006786B" w:rsidRPr="009C3AC7" w:rsidRDefault="0006786B" w:rsidP="0006786B">
      <w:pPr>
        <w:jc w:val="center"/>
        <w:rPr>
          <w:b/>
        </w:rPr>
      </w:pPr>
      <w:r w:rsidRPr="009C3AC7">
        <w:rPr>
          <w:b/>
        </w:rPr>
        <w:t xml:space="preserve">NERINGOS PIRMINĖS SVEIKATOS PRIEŽIŪROS CENTRO </w:t>
      </w:r>
    </w:p>
    <w:p w14:paraId="636C905A" w14:textId="1E84404F" w:rsidR="0006786B" w:rsidRPr="009C3AC7" w:rsidRDefault="00FD17A6" w:rsidP="0006786B">
      <w:pPr>
        <w:jc w:val="center"/>
        <w:rPr>
          <w:b/>
        </w:rPr>
      </w:pPr>
      <w:r w:rsidRPr="009C3AC7">
        <w:rPr>
          <w:b/>
        </w:rPr>
        <w:t>202</w:t>
      </w:r>
      <w:r w:rsidR="004D0202" w:rsidRPr="009C3AC7">
        <w:rPr>
          <w:b/>
        </w:rPr>
        <w:t>1</w:t>
      </w:r>
      <w:r w:rsidR="0006786B" w:rsidRPr="009C3AC7">
        <w:rPr>
          <w:b/>
        </w:rPr>
        <w:t xml:space="preserve"> METŲ </w:t>
      </w:r>
      <w:r w:rsidR="00E1748D" w:rsidRPr="009C3AC7">
        <w:rPr>
          <w:b/>
        </w:rPr>
        <w:t xml:space="preserve">VEIKLOS </w:t>
      </w:r>
      <w:r w:rsidR="0006786B" w:rsidRPr="009C3AC7">
        <w:rPr>
          <w:b/>
        </w:rPr>
        <w:t>ATASKAITA</w:t>
      </w:r>
    </w:p>
    <w:p w14:paraId="6AD6466E" w14:textId="798C77F1" w:rsidR="00713A95" w:rsidRDefault="00713A95" w:rsidP="0006786B">
      <w:pPr>
        <w:jc w:val="center"/>
        <w:rPr>
          <w:b/>
        </w:rPr>
      </w:pPr>
    </w:p>
    <w:p w14:paraId="1CE2474C" w14:textId="1236BE19" w:rsidR="00FB45A6" w:rsidRPr="00FB45A6" w:rsidRDefault="00FB45A6" w:rsidP="00FB45A6">
      <w:pPr>
        <w:pStyle w:val="Sraopastraipa"/>
        <w:numPr>
          <w:ilvl w:val="0"/>
          <w:numId w:val="25"/>
        </w:numPr>
        <w:tabs>
          <w:tab w:val="left" w:pos="567"/>
        </w:tabs>
        <w:ind w:hanging="1080"/>
        <w:jc w:val="center"/>
        <w:rPr>
          <w:b/>
        </w:rPr>
      </w:pPr>
      <w:r>
        <w:rPr>
          <w:b/>
        </w:rPr>
        <w:t>BENDROJI INFORMACIJA</w:t>
      </w:r>
    </w:p>
    <w:p w14:paraId="008347AD" w14:textId="77777777" w:rsidR="0096506C" w:rsidRPr="009C3AC7" w:rsidRDefault="0096506C" w:rsidP="0096506C">
      <w:pPr>
        <w:autoSpaceDE w:val="0"/>
        <w:autoSpaceDN w:val="0"/>
        <w:adjustRightInd w:val="0"/>
        <w:jc w:val="both"/>
        <w:rPr>
          <w:b/>
          <w:bCs/>
        </w:rPr>
      </w:pPr>
    </w:p>
    <w:p w14:paraId="47616A59" w14:textId="3A2B1CC3" w:rsidR="00792463" w:rsidRPr="009C3AC7" w:rsidRDefault="00792463" w:rsidP="00792463">
      <w:pPr>
        <w:tabs>
          <w:tab w:val="left" w:pos="993"/>
        </w:tabs>
        <w:ind w:firstLine="567"/>
        <w:jc w:val="both"/>
      </w:pPr>
      <w:r w:rsidRPr="009C3AC7">
        <w:rPr>
          <w:b/>
        </w:rPr>
        <w:t xml:space="preserve">Įstaigos duomenys – </w:t>
      </w:r>
      <w:r w:rsidRPr="009C3AC7">
        <w:t xml:space="preserve">Viešoji įstaiga Neringos pirminės sveikatos priežiūros centras, Taikos g. 11, LT-93121 Neringa, el. pašto adresas </w:t>
      </w:r>
      <w:hyperlink r:id="rId8">
        <w:r w:rsidRPr="009C3AC7">
          <w:rPr>
            <w:u w:val="single"/>
          </w:rPr>
          <w:t>info@neringospspc.lt</w:t>
        </w:r>
      </w:hyperlink>
      <w:r w:rsidR="00DB667F" w:rsidRPr="009C3AC7">
        <w:t>,</w:t>
      </w:r>
      <w:r w:rsidRPr="009C3AC7">
        <w:t xml:space="preserve"> telefonas (8 469) 5</w:t>
      </w:r>
      <w:r w:rsidR="00585AEC" w:rsidRPr="009C3AC7">
        <w:t>9 297</w:t>
      </w:r>
      <w:r w:rsidR="00DB667F" w:rsidRPr="009C3AC7">
        <w:t>,</w:t>
      </w:r>
      <w:r w:rsidRPr="009C3AC7">
        <w:t xml:space="preserve"> mobilusis telefonas – </w:t>
      </w:r>
      <w:r w:rsidRPr="009C3AC7">
        <w:rPr>
          <w:bCs/>
        </w:rPr>
        <w:t>8 604 10 451,</w:t>
      </w:r>
      <w:r w:rsidR="00802659">
        <w:rPr>
          <w:bCs/>
        </w:rPr>
        <w:t>i</w:t>
      </w:r>
      <w:r w:rsidRPr="009C3AC7">
        <w:t xml:space="preserve">nterneto svetainė – </w:t>
      </w:r>
      <w:hyperlink r:id="rId9">
        <w:r w:rsidRPr="009C3AC7">
          <w:rPr>
            <w:u w:val="single"/>
          </w:rPr>
          <w:t>www.neringospspc.lt</w:t>
        </w:r>
      </w:hyperlink>
      <w:r w:rsidRPr="009C3AC7">
        <w:t xml:space="preserve"> </w:t>
      </w:r>
    </w:p>
    <w:p w14:paraId="65E7C2ED" w14:textId="7A97F404" w:rsidR="00792463" w:rsidRPr="009C3AC7" w:rsidRDefault="00792463" w:rsidP="00792463">
      <w:pPr>
        <w:tabs>
          <w:tab w:val="left" w:pos="993"/>
          <w:tab w:val="left" w:pos="1260"/>
        </w:tabs>
        <w:ind w:firstLine="567"/>
        <w:jc w:val="both"/>
        <w:rPr>
          <w:spacing w:val="5"/>
          <w:shd w:val="clear" w:color="auto" w:fill="FFFFFF"/>
        </w:rPr>
      </w:pPr>
      <w:r w:rsidRPr="009C3AC7">
        <w:rPr>
          <w:b/>
          <w:spacing w:val="5"/>
          <w:shd w:val="clear" w:color="auto" w:fill="FFFFFF"/>
        </w:rPr>
        <w:t>Viešoji įstaiga Neringos  pirminės sveikatos priežiūros centras</w:t>
      </w:r>
      <w:r w:rsidRPr="009C3AC7">
        <w:rPr>
          <w:spacing w:val="5"/>
          <w:shd w:val="clear" w:color="auto" w:fill="FFFFFF"/>
        </w:rPr>
        <w:t xml:space="preserve"> (toliau tekste – Neringos PSPC) yra Lietuvos nacionalinės sveikatos sistemos viešoji asmens sveikatos priežiūros ne pelno</w:t>
      </w:r>
      <w:r w:rsidR="00DB667F" w:rsidRPr="009C3AC7">
        <w:rPr>
          <w:spacing w:val="5"/>
          <w:shd w:val="clear" w:color="auto" w:fill="FFFFFF"/>
        </w:rPr>
        <w:t xml:space="preserve"> siekianti</w:t>
      </w:r>
      <w:r w:rsidRPr="009C3AC7">
        <w:rPr>
          <w:spacing w:val="5"/>
          <w:shd w:val="clear" w:color="auto" w:fill="FFFFFF"/>
        </w:rPr>
        <w:t xml:space="preserve"> įstaiga, organizuojanti ir vykdanti nespecializuotą ir kvalifikuotą asmens sveikatos priežiūrą ir teikianti šias paslaugas:</w:t>
      </w:r>
    </w:p>
    <w:p w14:paraId="072DE5E1" w14:textId="42E2EBE8" w:rsidR="00792463" w:rsidRPr="009C3AC7" w:rsidRDefault="00792463" w:rsidP="00792463">
      <w:pPr>
        <w:tabs>
          <w:tab w:val="left" w:pos="993"/>
          <w:tab w:val="left" w:pos="1260"/>
        </w:tabs>
        <w:ind w:firstLine="567"/>
        <w:jc w:val="both"/>
        <w:rPr>
          <w:spacing w:val="5"/>
          <w:shd w:val="clear" w:color="auto" w:fill="FFFFFF"/>
        </w:rPr>
      </w:pPr>
      <w:r w:rsidRPr="009C3AC7">
        <w:rPr>
          <w:spacing w:val="5"/>
          <w:shd w:val="clear" w:color="auto" w:fill="FFFFFF"/>
        </w:rPr>
        <w:t>1. Pirminės ambulatorinės asmens sveikatos priežiūros paslaugas (</w:t>
      </w:r>
      <w:r w:rsidR="00F96910" w:rsidRPr="009C3AC7">
        <w:t xml:space="preserve">toliau tekste – </w:t>
      </w:r>
      <w:r w:rsidRPr="009C3AC7">
        <w:rPr>
          <w:spacing w:val="5"/>
          <w:shd w:val="clear" w:color="auto" w:fill="FFFFFF"/>
        </w:rPr>
        <w:t>PAASPP);</w:t>
      </w:r>
    </w:p>
    <w:p w14:paraId="06D88BCF" w14:textId="1741277F" w:rsidR="00792463" w:rsidRPr="009C3AC7" w:rsidRDefault="00792463" w:rsidP="00792463">
      <w:pPr>
        <w:tabs>
          <w:tab w:val="left" w:pos="567"/>
          <w:tab w:val="left" w:pos="1260"/>
        </w:tabs>
        <w:jc w:val="both"/>
        <w:rPr>
          <w:spacing w:val="5"/>
          <w:shd w:val="clear" w:color="auto" w:fill="FFFFFF"/>
        </w:rPr>
      </w:pPr>
      <w:r w:rsidRPr="009C3AC7">
        <w:rPr>
          <w:spacing w:val="5"/>
          <w:shd w:val="clear" w:color="auto" w:fill="FFFFFF"/>
        </w:rPr>
        <w:tab/>
        <w:t>2. Palaikomojo gydymo ir slaugos paslaugas (</w:t>
      </w:r>
      <w:r w:rsidR="00F96910" w:rsidRPr="009C3AC7">
        <w:t xml:space="preserve">toliau tekste – </w:t>
      </w:r>
      <w:r w:rsidRPr="009C3AC7">
        <w:rPr>
          <w:spacing w:val="5"/>
          <w:shd w:val="clear" w:color="auto" w:fill="FFFFFF"/>
        </w:rPr>
        <w:t>PGSP);</w:t>
      </w:r>
    </w:p>
    <w:p w14:paraId="3C7837FA" w14:textId="04A136AA" w:rsidR="00792463" w:rsidRPr="009C3AC7" w:rsidRDefault="00792463" w:rsidP="00792463">
      <w:pPr>
        <w:tabs>
          <w:tab w:val="left" w:pos="993"/>
          <w:tab w:val="left" w:pos="1260"/>
        </w:tabs>
        <w:ind w:firstLine="567"/>
        <w:jc w:val="both"/>
        <w:rPr>
          <w:spacing w:val="5"/>
          <w:shd w:val="clear" w:color="auto" w:fill="FFFFFF"/>
        </w:rPr>
      </w:pPr>
      <w:r w:rsidRPr="009C3AC7">
        <w:rPr>
          <w:spacing w:val="5"/>
          <w:shd w:val="clear" w:color="auto" w:fill="FFFFFF"/>
        </w:rPr>
        <w:t>3. Greitosios medicinos pagalbos paslaugas (</w:t>
      </w:r>
      <w:r w:rsidR="00F96910" w:rsidRPr="009C3AC7">
        <w:t xml:space="preserve">toliau tekste – </w:t>
      </w:r>
      <w:r w:rsidRPr="009C3AC7">
        <w:rPr>
          <w:spacing w:val="5"/>
          <w:shd w:val="clear" w:color="auto" w:fill="FFFFFF"/>
        </w:rPr>
        <w:t>GMPP).</w:t>
      </w:r>
    </w:p>
    <w:p w14:paraId="6B083900" w14:textId="77777777" w:rsidR="00792463" w:rsidRPr="009C3AC7" w:rsidRDefault="00792463" w:rsidP="00792463">
      <w:pPr>
        <w:tabs>
          <w:tab w:val="left" w:pos="993"/>
          <w:tab w:val="left" w:pos="1260"/>
        </w:tabs>
        <w:ind w:firstLine="567"/>
        <w:jc w:val="both"/>
        <w:rPr>
          <w:spacing w:val="5"/>
          <w:shd w:val="clear" w:color="auto" w:fill="FFFFFF"/>
        </w:rPr>
      </w:pPr>
      <w:r w:rsidRPr="009C3AC7">
        <w:rPr>
          <w:spacing w:val="5"/>
          <w:shd w:val="clear" w:color="auto" w:fill="FFFFFF"/>
        </w:rPr>
        <w:t>Neringos PSPC steigėjas ir vienintelis dalininkas (savininkas) yra Neringos savivaldybės taryba.</w:t>
      </w:r>
    </w:p>
    <w:p w14:paraId="357FA445" w14:textId="4C73C9F8" w:rsidR="00792463" w:rsidRPr="009C3AC7" w:rsidRDefault="00792463" w:rsidP="00792463">
      <w:pPr>
        <w:tabs>
          <w:tab w:val="left" w:pos="993"/>
          <w:tab w:val="left" w:pos="1260"/>
        </w:tabs>
        <w:ind w:firstLine="567"/>
        <w:jc w:val="both"/>
        <w:rPr>
          <w:b/>
        </w:rPr>
      </w:pPr>
      <w:r w:rsidRPr="009C3AC7">
        <w:rPr>
          <w:b/>
        </w:rPr>
        <w:t>Pagrindinis įstaigos veiklos tikslas</w:t>
      </w:r>
      <w:r w:rsidRPr="009C3AC7">
        <w:t xml:space="preserve"> – </w:t>
      </w:r>
      <w:r w:rsidR="00FB7FCD" w:rsidRPr="009C3AC7">
        <w:t>s</w:t>
      </w:r>
      <w:r w:rsidRPr="009C3AC7">
        <w:t>avivaldybės gyventojų sveikatos atkūrimas ir gerinimas, sergamumo ir mirtingumo mažinimas, priimtinų, prieinamų ir tinkamų asmens sveikatos priežiūros paslaugų teikimas.</w:t>
      </w:r>
    </w:p>
    <w:p w14:paraId="7CCDBADD" w14:textId="3C9413CC" w:rsidR="00792463" w:rsidRPr="009C3AC7" w:rsidRDefault="00792463" w:rsidP="00792463">
      <w:pPr>
        <w:tabs>
          <w:tab w:val="left" w:pos="993"/>
        </w:tabs>
        <w:ind w:firstLine="567"/>
        <w:jc w:val="both"/>
      </w:pPr>
      <w:r w:rsidRPr="009C3AC7">
        <w:rPr>
          <w:b/>
        </w:rPr>
        <w:t>Neringos PSPC vadovo</w:t>
      </w:r>
      <w:r w:rsidRPr="009C3AC7">
        <w:t xml:space="preserve"> </w:t>
      </w:r>
      <w:r w:rsidRPr="009C3AC7">
        <w:rPr>
          <w:b/>
        </w:rPr>
        <w:t>veikla</w:t>
      </w:r>
      <w:r w:rsidRPr="009C3AC7">
        <w:t xml:space="preserve"> – įstaigos tikslų ir strategijos jiems pasiekti suformavimas, jų įgyvendinimo užtikrinimas ir kontrolė. Neringos PSPC vadovas atsakingas už tinkamą įstaigos veiklos organizavimą, teisės aktų ir sutartinių įsipareigojimų įgyvendinimą ir atsiskaitymą už pasiektus įstaigos darbo rezultatus.</w:t>
      </w:r>
    </w:p>
    <w:p w14:paraId="3A1A87B1" w14:textId="77777777" w:rsidR="00E1748D" w:rsidRDefault="00572E79" w:rsidP="00572E79">
      <w:pPr>
        <w:tabs>
          <w:tab w:val="left" w:pos="0"/>
          <w:tab w:val="left" w:pos="993"/>
          <w:tab w:val="left" w:pos="1260"/>
        </w:tabs>
        <w:ind w:firstLine="567"/>
        <w:jc w:val="both"/>
        <w:rPr>
          <w:b/>
        </w:rPr>
      </w:pPr>
      <w:r w:rsidRPr="009C3AC7">
        <w:rPr>
          <w:b/>
        </w:rPr>
        <w:t>Pagrindiniai įstaigos veiklos uždaviniai</w:t>
      </w:r>
      <w:r w:rsidR="00E1748D">
        <w:rPr>
          <w:b/>
        </w:rPr>
        <w:t>:</w:t>
      </w:r>
    </w:p>
    <w:p w14:paraId="4BF598A1" w14:textId="77777777" w:rsidR="00E1748D" w:rsidRDefault="00572E79" w:rsidP="00572E79">
      <w:pPr>
        <w:tabs>
          <w:tab w:val="left" w:pos="0"/>
          <w:tab w:val="left" w:pos="993"/>
          <w:tab w:val="left" w:pos="1260"/>
        </w:tabs>
        <w:ind w:firstLine="567"/>
        <w:jc w:val="both"/>
      </w:pPr>
      <w:r w:rsidRPr="009C3AC7">
        <w:t xml:space="preserve"> – </w:t>
      </w:r>
      <w:r w:rsidR="00802659">
        <w:t>o</w:t>
      </w:r>
      <w:r w:rsidRPr="009C3AC7">
        <w:t>rganizuoti ir teikti kvalifikuotas pirminės asmens sveikatos priežiūros paslaugas Neringos savivaldybės gyventojams ir būtinąją neatidėliotiną pagalbą kurorto svečiams, kokybiškai ir saugiai atliekant tyrimus, taikant naujausius diagnostikos ir gydymo metodus</w:t>
      </w:r>
      <w:r w:rsidR="00E1748D">
        <w:t>;</w:t>
      </w:r>
    </w:p>
    <w:p w14:paraId="78D000B7" w14:textId="5E465338" w:rsidR="00572E79" w:rsidRPr="009C3AC7" w:rsidRDefault="00E1748D" w:rsidP="00572E79">
      <w:pPr>
        <w:tabs>
          <w:tab w:val="left" w:pos="0"/>
          <w:tab w:val="left" w:pos="993"/>
          <w:tab w:val="left" w:pos="1260"/>
        </w:tabs>
        <w:ind w:firstLine="567"/>
        <w:jc w:val="both"/>
        <w:rPr>
          <w:b/>
        </w:rPr>
      </w:pPr>
      <w:r>
        <w:t>–</w:t>
      </w:r>
      <w:r w:rsidR="00572E79" w:rsidRPr="009C3AC7">
        <w:t xml:space="preserve"> </w:t>
      </w:r>
      <w:r>
        <w:t>š</w:t>
      </w:r>
      <w:r w:rsidR="00572E79" w:rsidRPr="009C3AC7">
        <w:t xml:space="preserve">ia veikla siekti rezultato, atitinkančio pacientų, medikų ir visuomenės lūkesčius. </w:t>
      </w:r>
    </w:p>
    <w:p w14:paraId="4AE7E429" w14:textId="3753004C" w:rsidR="00792463" w:rsidRPr="009C3AC7" w:rsidRDefault="00792463" w:rsidP="00DB667F">
      <w:pPr>
        <w:tabs>
          <w:tab w:val="left" w:pos="0"/>
        </w:tabs>
        <w:ind w:firstLine="567"/>
        <w:jc w:val="both"/>
      </w:pPr>
      <w:r w:rsidRPr="009C3AC7">
        <w:rPr>
          <w:b/>
          <w:bCs/>
        </w:rPr>
        <w:t>Įstaigos vadov</w:t>
      </w:r>
      <w:r w:rsidR="00DB667F" w:rsidRPr="009C3AC7">
        <w:rPr>
          <w:b/>
          <w:bCs/>
        </w:rPr>
        <w:t>ė</w:t>
      </w:r>
      <w:r w:rsidR="00DB667F" w:rsidRPr="009C3AC7">
        <w:t xml:space="preserve"> – direktorė </w:t>
      </w:r>
      <w:r w:rsidRPr="009C3AC7">
        <w:t>Violeta Prekevičienė</w:t>
      </w:r>
      <w:r w:rsidR="00DB667F" w:rsidRPr="009C3AC7">
        <w:t>.</w:t>
      </w:r>
    </w:p>
    <w:p w14:paraId="063F4253" w14:textId="77777777" w:rsidR="00EE129D" w:rsidRPr="009C3AC7" w:rsidRDefault="00EE129D" w:rsidP="00DB667F">
      <w:pPr>
        <w:tabs>
          <w:tab w:val="left" w:pos="0"/>
        </w:tabs>
        <w:ind w:firstLine="567"/>
        <w:jc w:val="both"/>
      </w:pPr>
    </w:p>
    <w:p w14:paraId="16E76D44" w14:textId="77777777" w:rsidR="004B71CF" w:rsidRPr="009C3AC7" w:rsidRDefault="004B71CF">
      <w:pPr>
        <w:rPr>
          <w:b/>
        </w:rPr>
      </w:pPr>
      <w:r w:rsidRPr="009C3AC7">
        <w:rPr>
          <w:b/>
        </w:rPr>
        <w:br w:type="page"/>
      </w:r>
    </w:p>
    <w:p w14:paraId="18812498" w14:textId="1145BE83" w:rsidR="00FB45A6" w:rsidRPr="00FB45A6" w:rsidRDefault="008155D6" w:rsidP="00FB45A6">
      <w:pPr>
        <w:pStyle w:val="Sraopastraipa"/>
        <w:numPr>
          <w:ilvl w:val="0"/>
          <w:numId w:val="25"/>
        </w:numPr>
        <w:tabs>
          <w:tab w:val="left" w:pos="567"/>
        </w:tabs>
        <w:ind w:hanging="1080"/>
        <w:jc w:val="center"/>
        <w:rPr>
          <w:b/>
          <w:bCs/>
          <w:caps/>
          <w:color w:val="000000"/>
        </w:rPr>
      </w:pPr>
      <w:r w:rsidRPr="00FB45A6">
        <w:rPr>
          <w:b/>
          <w:bCs/>
          <w:caps/>
          <w:color w:val="000000"/>
        </w:rPr>
        <w:lastRenderedPageBreak/>
        <w:t xml:space="preserve">LIETUVOS NACIONALINĖS SVEIKATOS SISTEMOS VIEŠŲJŲ IR BIUDŽETINIŲ ĮSTAIGŲ, TEIKIANČIŲ ASMENS SVEIKATOS PRIEŽIŪROS PASLAUGAS, </w:t>
      </w:r>
    </w:p>
    <w:p w14:paraId="2C4292C9" w14:textId="77777777" w:rsidR="00FB45A6" w:rsidRDefault="008155D6" w:rsidP="00EE129D">
      <w:pPr>
        <w:jc w:val="center"/>
        <w:rPr>
          <w:b/>
          <w:bCs/>
          <w:caps/>
          <w:color w:val="000000"/>
        </w:rPr>
      </w:pPr>
      <w:r w:rsidRPr="009C3AC7">
        <w:rPr>
          <w:b/>
          <w:bCs/>
          <w:caps/>
          <w:color w:val="000000"/>
        </w:rPr>
        <w:t xml:space="preserve">VEIKLOS REZULTATŲ VERTINIMO RODIKLIŲ </w:t>
      </w:r>
    </w:p>
    <w:p w14:paraId="6CC72EB6" w14:textId="2D658F98" w:rsidR="00EE129D" w:rsidRPr="009C3AC7" w:rsidRDefault="008155D6" w:rsidP="00EE129D">
      <w:pPr>
        <w:jc w:val="center"/>
        <w:rPr>
          <w:b/>
          <w:bCs/>
          <w:caps/>
          <w:color w:val="000000"/>
        </w:rPr>
      </w:pPr>
      <w:r w:rsidRPr="009C3AC7">
        <w:rPr>
          <w:b/>
          <w:bCs/>
          <w:caps/>
          <w:color w:val="000000"/>
        </w:rPr>
        <w:t>20</w:t>
      </w:r>
      <w:r w:rsidR="009070F7" w:rsidRPr="009C3AC7">
        <w:rPr>
          <w:b/>
          <w:bCs/>
          <w:caps/>
          <w:color w:val="000000"/>
        </w:rPr>
        <w:t>2</w:t>
      </w:r>
      <w:r w:rsidR="004D0202" w:rsidRPr="009C3AC7">
        <w:rPr>
          <w:b/>
          <w:bCs/>
          <w:caps/>
          <w:color w:val="000000"/>
        </w:rPr>
        <w:t>1</w:t>
      </w:r>
      <w:r w:rsidRPr="009C3AC7">
        <w:rPr>
          <w:b/>
          <w:bCs/>
          <w:caps/>
          <w:color w:val="000000"/>
        </w:rPr>
        <w:t xml:space="preserve"> METŲ SIEKTINOS REIKŠMĖS </w:t>
      </w:r>
    </w:p>
    <w:p w14:paraId="091E0D7B" w14:textId="77777777" w:rsidR="008155D6" w:rsidRPr="009C3AC7" w:rsidRDefault="008155D6" w:rsidP="00EE129D">
      <w:pPr>
        <w:jc w:val="center"/>
        <w:rPr>
          <w:b/>
        </w:rPr>
      </w:pPr>
    </w:p>
    <w:p w14:paraId="3057FA86" w14:textId="5148434F" w:rsidR="00EE129D" w:rsidRPr="009C3AC7" w:rsidRDefault="008155D6" w:rsidP="008155D6">
      <w:pPr>
        <w:ind w:firstLine="567"/>
        <w:jc w:val="center"/>
        <w:rPr>
          <w:b/>
        </w:rPr>
      </w:pPr>
      <w:r w:rsidRPr="009C3AC7">
        <w:rPr>
          <w:b/>
        </w:rPr>
        <w:t xml:space="preserve">I. </w:t>
      </w:r>
      <w:r w:rsidR="00EE129D" w:rsidRPr="009C3AC7">
        <w:rPr>
          <w:b/>
        </w:rPr>
        <w:t>Veiklos finansinių rezultatų vertinimo rodikliai ir jų vykdymo rezult</w:t>
      </w:r>
      <w:r w:rsidR="00452F95" w:rsidRPr="009C3AC7">
        <w:rPr>
          <w:b/>
        </w:rPr>
        <w:t>atai</w:t>
      </w:r>
    </w:p>
    <w:p w14:paraId="49B7ECA4" w14:textId="77777777" w:rsidR="008155D6" w:rsidRPr="009C3AC7" w:rsidRDefault="008155D6" w:rsidP="008155D6">
      <w:pPr>
        <w:ind w:firstLine="567"/>
        <w:jc w:val="center"/>
        <w:rPr>
          <w:b/>
        </w:rPr>
      </w:pPr>
    </w:p>
    <w:p w14:paraId="3A32AAA4" w14:textId="5CB15115" w:rsidR="00EE129D" w:rsidRPr="009C3AC7" w:rsidRDefault="00EE129D" w:rsidP="00EE129D">
      <w:pPr>
        <w:ind w:firstLine="567"/>
        <w:jc w:val="both"/>
        <w:rPr>
          <w:u w:val="single"/>
        </w:rPr>
      </w:pPr>
      <w:r w:rsidRPr="009C3AC7">
        <w:rPr>
          <w:u w:val="single"/>
        </w:rPr>
        <w:t xml:space="preserve">1. </w:t>
      </w:r>
      <w:r w:rsidR="002C2305" w:rsidRPr="009C3AC7">
        <w:rPr>
          <w:u w:val="single"/>
        </w:rPr>
        <w:t xml:space="preserve">Įstaigos praėjusių metų veiklos rezultatų ataskaitoje nurodytas pajamų ir sąnaudų skirtumas (grynasis perviršis ar deficitas) </w:t>
      </w:r>
      <w:r w:rsidRPr="009C3AC7">
        <w:rPr>
          <w:u w:val="single"/>
        </w:rPr>
        <w:t>(būti nenuostolingai)</w:t>
      </w:r>
    </w:p>
    <w:p w14:paraId="4FEC4519" w14:textId="49A0D1C8" w:rsidR="009070F7" w:rsidRPr="009C3AC7" w:rsidRDefault="009070F7" w:rsidP="009070F7">
      <w:pPr>
        <w:ind w:firstLine="567"/>
        <w:jc w:val="both"/>
      </w:pPr>
      <w:r w:rsidRPr="009C3AC7">
        <w:t>Pagrindinės veiklos pajamos –</w:t>
      </w:r>
      <w:r w:rsidR="004D0202" w:rsidRPr="009C3AC7">
        <w:t xml:space="preserve"> </w:t>
      </w:r>
      <w:r w:rsidR="006023BD" w:rsidRPr="009C3AC7">
        <w:t xml:space="preserve">1 534 985,90 </w:t>
      </w:r>
      <w:r w:rsidRPr="009C3AC7">
        <w:t xml:space="preserve">Eur, pagrindinės veiklos sąnaudos – </w:t>
      </w:r>
      <w:r w:rsidR="006023BD" w:rsidRPr="009C3AC7">
        <w:t>1 498 033,86</w:t>
      </w:r>
      <w:r w:rsidRPr="009C3AC7">
        <w:t xml:space="preserve"> Eur. Finansinis įstaigos veiklos rezultatas – </w:t>
      </w:r>
      <w:r w:rsidR="006023BD" w:rsidRPr="009C3AC7">
        <w:t xml:space="preserve">36 952,04 </w:t>
      </w:r>
      <w:r w:rsidRPr="009C3AC7">
        <w:t xml:space="preserve">Eur (teigiamas). </w:t>
      </w:r>
    </w:p>
    <w:p w14:paraId="3623B875" w14:textId="5755F577" w:rsidR="009070F7" w:rsidRPr="009C3AC7" w:rsidRDefault="009070F7" w:rsidP="009070F7">
      <w:pPr>
        <w:ind w:firstLine="567"/>
        <w:jc w:val="both"/>
        <w:rPr>
          <w:u w:val="single"/>
        </w:rPr>
      </w:pPr>
      <w:r w:rsidRPr="009C3AC7">
        <w:rPr>
          <w:u w:val="single"/>
        </w:rPr>
        <w:t>2. Įstaigos sąnaudų darbo užmokesčiui dalis</w:t>
      </w:r>
    </w:p>
    <w:p w14:paraId="17B6C61A" w14:textId="2FCB31E7" w:rsidR="007776DB" w:rsidRPr="009C3AC7" w:rsidRDefault="007776DB" w:rsidP="009070F7">
      <w:pPr>
        <w:ind w:firstLine="567"/>
        <w:jc w:val="both"/>
        <w:rPr>
          <w:color w:val="000000"/>
          <w:shd w:val="clear" w:color="auto" w:fill="FFFFFF"/>
        </w:rPr>
      </w:pPr>
      <w:r w:rsidRPr="009C3AC7">
        <w:rPr>
          <w:u w:val="single"/>
        </w:rPr>
        <w:t xml:space="preserve">Valstybės institucijoms skyrus papildomų PSDF biudžeto lėšų asmens sveikatos priežiūros paslaugoms apmokėti ir rekomendavus jas nukreipti darbuotojų darbo užmokesčiui didinti, ne mažiau kaip 80 proc. nurodytų lėšų panaudojamos darbo užmokesčiui didinti. </w:t>
      </w:r>
      <w:r w:rsidRPr="009C3AC7">
        <w:rPr>
          <w:color w:val="000000"/>
          <w:shd w:val="clear" w:color="auto" w:fill="FFFFFF"/>
        </w:rPr>
        <w:t xml:space="preserve">Rodiklis parodo, kokią dalį procentais 2021 m. vidutinio vieno mėnesio darbo užmokesčio fondo augimas (palyginus laikotarpį iki darbo užmokesčio didinimo ir laikotarpį po jo, neįskaitant duomenų apie darbo užmokestį Lietuvos Respublikos teritorijoje paskelbto karantino laikotarpiu, t. y. nuo mėnesio, kurį buvo paskelbtas karantinas, pirmosios dienos iki mėnesio, kurį buvo atšauktas karantinas, paskutinės dienos) sudarė nuo papildomai skirtų PSDF lėšų, kurias buvo rekomenduojama skirti darbuotojų darbo užmokesčiui didinti. Rodiklio reikšmė apskaičiuojama pagal formulę: </w:t>
      </w:r>
    </w:p>
    <w:tbl>
      <w:tblPr>
        <w:tblW w:w="8668" w:type="dxa"/>
        <w:shd w:val="clear" w:color="auto" w:fill="FFFFFF"/>
        <w:tblCellMar>
          <w:left w:w="0" w:type="dxa"/>
          <w:right w:w="0" w:type="dxa"/>
        </w:tblCellMar>
        <w:tblLook w:val="04A0" w:firstRow="1" w:lastRow="0" w:firstColumn="1" w:lastColumn="0" w:noHBand="0" w:noVBand="1"/>
      </w:tblPr>
      <w:tblGrid>
        <w:gridCol w:w="1701"/>
        <w:gridCol w:w="1784"/>
        <w:gridCol w:w="1725"/>
        <w:gridCol w:w="1729"/>
        <w:gridCol w:w="1729"/>
      </w:tblGrid>
      <w:tr w:rsidR="00B231CA" w:rsidRPr="009C3AC7" w14:paraId="7DD8C28A" w14:textId="77777777" w:rsidTr="00904163">
        <w:trPr>
          <w:gridAfter w:val="1"/>
          <w:wAfter w:w="1729" w:type="dxa"/>
        </w:trPr>
        <w:tc>
          <w:tcPr>
            <w:tcW w:w="1701" w:type="dxa"/>
            <w:tcBorders>
              <w:top w:val="nil"/>
              <w:left w:val="nil"/>
              <w:bottom w:val="single" w:sz="8" w:space="0" w:color="auto"/>
              <w:right w:val="nil"/>
            </w:tcBorders>
            <w:shd w:val="clear" w:color="auto" w:fill="FFFFFF"/>
            <w:vAlign w:val="center"/>
            <w:hideMark/>
          </w:tcPr>
          <w:p w14:paraId="7DFE01D0" w14:textId="6B6C62F3" w:rsidR="00B231CA" w:rsidRPr="009C3AC7" w:rsidRDefault="00B231CA" w:rsidP="00904163">
            <w:pPr>
              <w:pStyle w:val="tactin"/>
              <w:spacing w:before="0" w:beforeAutospacing="0" w:after="0" w:afterAutospacing="0"/>
              <w:jc w:val="center"/>
              <w:rPr>
                <w:color w:val="000000"/>
                <w:sz w:val="20"/>
                <w:szCs w:val="20"/>
              </w:rPr>
            </w:pPr>
            <w:r w:rsidRPr="009C3AC7">
              <w:rPr>
                <w:color w:val="000000"/>
                <w:sz w:val="20"/>
                <w:szCs w:val="20"/>
              </w:rPr>
              <w:t>DUF1-DUF2</w:t>
            </w:r>
          </w:p>
        </w:tc>
        <w:tc>
          <w:tcPr>
            <w:tcW w:w="1784" w:type="dxa"/>
            <w:vMerge w:val="restart"/>
            <w:tcBorders>
              <w:top w:val="nil"/>
              <w:left w:val="nil"/>
              <w:bottom w:val="nil"/>
              <w:right w:val="nil"/>
            </w:tcBorders>
            <w:shd w:val="clear" w:color="auto" w:fill="FFFFFF"/>
            <w:vAlign w:val="center"/>
            <w:hideMark/>
          </w:tcPr>
          <w:p w14:paraId="1498810D" w14:textId="77777777" w:rsidR="00B231CA" w:rsidRPr="009C3AC7" w:rsidRDefault="00B231CA" w:rsidP="00904163">
            <w:pPr>
              <w:pStyle w:val="tajtin"/>
              <w:spacing w:before="0" w:beforeAutospacing="0" w:after="0" w:afterAutospacing="0"/>
              <w:ind w:right="533"/>
              <w:jc w:val="both"/>
              <w:rPr>
                <w:color w:val="000000"/>
                <w:sz w:val="20"/>
                <w:szCs w:val="20"/>
              </w:rPr>
            </w:pPr>
            <w:r w:rsidRPr="009C3AC7">
              <w:rPr>
                <w:color w:val="000000"/>
                <w:sz w:val="20"/>
                <w:szCs w:val="20"/>
              </w:rPr>
              <w:t>X 100</w:t>
            </w:r>
          </w:p>
        </w:tc>
        <w:tc>
          <w:tcPr>
            <w:tcW w:w="1725" w:type="dxa"/>
            <w:tcBorders>
              <w:top w:val="nil"/>
              <w:left w:val="nil"/>
              <w:bottom w:val="nil"/>
              <w:right w:val="nil"/>
            </w:tcBorders>
            <w:shd w:val="clear" w:color="auto" w:fill="FFFFFF"/>
            <w:vAlign w:val="center"/>
            <w:hideMark/>
          </w:tcPr>
          <w:p w14:paraId="399B8632" w14:textId="77777777" w:rsidR="00B231CA" w:rsidRPr="009C3AC7" w:rsidRDefault="00B231CA">
            <w:pPr>
              <w:pStyle w:val="tajtin"/>
              <w:spacing w:before="0" w:beforeAutospacing="0" w:after="0" w:afterAutospacing="0"/>
              <w:jc w:val="both"/>
              <w:rPr>
                <w:rFonts w:ascii="Arial" w:hAnsi="Arial" w:cs="Arial"/>
                <w:color w:val="000000"/>
                <w:sz w:val="20"/>
                <w:szCs w:val="20"/>
              </w:rPr>
            </w:pPr>
            <w:r w:rsidRPr="009C3AC7">
              <w:rPr>
                <w:rFonts w:ascii="Arial" w:hAnsi="Arial" w:cs="Arial"/>
                <w:b/>
                <w:bCs/>
                <w:color w:val="000000"/>
                <w:sz w:val="20"/>
                <w:szCs w:val="20"/>
              </w:rPr>
              <w:t> </w:t>
            </w:r>
          </w:p>
        </w:tc>
        <w:tc>
          <w:tcPr>
            <w:tcW w:w="1729" w:type="dxa"/>
            <w:tcBorders>
              <w:top w:val="nil"/>
              <w:left w:val="nil"/>
              <w:bottom w:val="nil"/>
            </w:tcBorders>
            <w:shd w:val="clear" w:color="auto" w:fill="FFFFFF"/>
            <w:vAlign w:val="center"/>
            <w:hideMark/>
          </w:tcPr>
          <w:p w14:paraId="1E780807" w14:textId="77777777" w:rsidR="00B231CA" w:rsidRPr="009C3AC7" w:rsidRDefault="00B231CA">
            <w:pPr>
              <w:pStyle w:val="tajtin"/>
              <w:spacing w:before="0" w:beforeAutospacing="0" w:after="0" w:afterAutospacing="0"/>
              <w:jc w:val="both"/>
              <w:rPr>
                <w:rFonts w:ascii="Arial" w:hAnsi="Arial" w:cs="Arial"/>
                <w:color w:val="000000"/>
                <w:sz w:val="20"/>
                <w:szCs w:val="20"/>
              </w:rPr>
            </w:pPr>
            <w:r w:rsidRPr="009C3AC7">
              <w:rPr>
                <w:rFonts w:ascii="Arial" w:hAnsi="Arial" w:cs="Arial"/>
                <w:b/>
                <w:bCs/>
                <w:color w:val="000000"/>
                <w:sz w:val="20"/>
                <w:szCs w:val="20"/>
              </w:rPr>
              <w:t> </w:t>
            </w:r>
          </w:p>
        </w:tc>
      </w:tr>
      <w:tr w:rsidR="00B231CA" w:rsidRPr="009C3AC7" w14:paraId="7B16879C" w14:textId="77777777" w:rsidTr="00904163">
        <w:tc>
          <w:tcPr>
            <w:tcW w:w="1701" w:type="dxa"/>
            <w:tcBorders>
              <w:top w:val="nil"/>
              <w:left w:val="nil"/>
              <w:bottom w:val="nil"/>
              <w:right w:val="nil"/>
            </w:tcBorders>
            <w:shd w:val="clear" w:color="auto" w:fill="FFFFFF"/>
            <w:vAlign w:val="center"/>
            <w:hideMark/>
          </w:tcPr>
          <w:p w14:paraId="7FAC2BB4" w14:textId="27AE0365" w:rsidR="00B231CA" w:rsidRPr="009C3AC7" w:rsidRDefault="00B231CA" w:rsidP="00904163">
            <w:pPr>
              <w:pStyle w:val="tajtin"/>
              <w:spacing w:before="0" w:beforeAutospacing="0" w:after="0" w:afterAutospacing="0"/>
              <w:jc w:val="both"/>
              <w:rPr>
                <w:color w:val="000000"/>
                <w:sz w:val="20"/>
                <w:szCs w:val="20"/>
              </w:rPr>
            </w:pPr>
            <w:r w:rsidRPr="009C3AC7">
              <w:rPr>
                <w:color w:val="000000"/>
                <w:sz w:val="20"/>
                <w:szCs w:val="20"/>
              </w:rPr>
              <w:t>Papildomos lėšos</w:t>
            </w:r>
          </w:p>
        </w:tc>
        <w:tc>
          <w:tcPr>
            <w:tcW w:w="0" w:type="auto"/>
            <w:vMerge/>
            <w:tcBorders>
              <w:top w:val="nil"/>
              <w:left w:val="nil"/>
              <w:bottom w:val="nil"/>
              <w:right w:val="nil"/>
            </w:tcBorders>
            <w:shd w:val="clear" w:color="auto" w:fill="FFFFFF"/>
            <w:vAlign w:val="center"/>
            <w:hideMark/>
          </w:tcPr>
          <w:p w14:paraId="0B159719" w14:textId="77777777" w:rsidR="00B231CA" w:rsidRPr="009C3AC7" w:rsidRDefault="00B231CA" w:rsidP="00904163">
            <w:pPr>
              <w:rPr>
                <w:rFonts w:ascii="Arial" w:hAnsi="Arial" w:cs="Arial"/>
                <w:color w:val="000000"/>
                <w:sz w:val="20"/>
                <w:szCs w:val="20"/>
              </w:rPr>
            </w:pPr>
          </w:p>
        </w:tc>
        <w:tc>
          <w:tcPr>
            <w:tcW w:w="1725" w:type="dxa"/>
            <w:tcBorders>
              <w:top w:val="nil"/>
              <w:left w:val="nil"/>
              <w:bottom w:val="nil"/>
              <w:right w:val="nil"/>
            </w:tcBorders>
            <w:shd w:val="clear" w:color="auto" w:fill="FFFFFF"/>
            <w:vAlign w:val="center"/>
          </w:tcPr>
          <w:p w14:paraId="5652538D" w14:textId="07EDC7C7" w:rsidR="00B231CA" w:rsidRPr="009C3AC7" w:rsidRDefault="00B231CA" w:rsidP="00B231CA">
            <w:pPr>
              <w:pStyle w:val="tactin"/>
              <w:spacing w:before="0" w:beforeAutospacing="0" w:after="0" w:afterAutospacing="0"/>
              <w:jc w:val="center"/>
              <w:rPr>
                <w:rFonts w:ascii="Arial" w:hAnsi="Arial" w:cs="Arial"/>
                <w:color w:val="000000"/>
                <w:sz w:val="20"/>
                <w:szCs w:val="20"/>
              </w:rPr>
            </w:pPr>
          </w:p>
        </w:tc>
        <w:tc>
          <w:tcPr>
            <w:tcW w:w="1729" w:type="dxa"/>
            <w:tcBorders>
              <w:top w:val="nil"/>
              <w:left w:val="nil"/>
              <w:bottom w:val="nil"/>
              <w:right w:val="nil"/>
            </w:tcBorders>
            <w:shd w:val="clear" w:color="auto" w:fill="FFFFFF"/>
            <w:vAlign w:val="center"/>
            <w:hideMark/>
          </w:tcPr>
          <w:p w14:paraId="2F5C2E47" w14:textId="77777777" w:rsidR="00B231CA" w:rsidRPr="009C3AC7" w:rsidRDefault="00B231CA" w:rsidP="00B231CA">
            <w:pPr>
              <w:pStyle w:val="tajtin"/>
              <w:spacing w:before="0" w:beforeAutospacing="0" w:after="0" w:afterAutospacing="0"/>
              <w:jc w:val="both"/>
              <w:rPr>
                <w:rFonts w:ascii="Arial" w:hAnsi="Arial" w:cs="Arial"/>
                <w:color w:val="000000"/>
                <w:sz w:val="20"/>
                <w:szCs w:val="20"/>
              </w:rPr>
            </w:pPr>
            <w:r w:rsidRPr="009C3AC7">
              <w:rPr>
                <w:rFonts w:ascii="Arial" w:hAnsi="Arial" w:cs="Arial"/>
                <w:b/>
                <w:bCs/>
                <w:color w:val="000000"/>
                <w:sz w:val="20"/>
                <w:szCs w:val="20"/>
              </w:rPr>
              <w:t> </w:t>
            </w:r>
          </w:p>
        </w:tc>
        <w:tc>
          <w:tcPr>
            <w:tcW w:w="1729" w:type="dxa"/>
            <w:tcBorders>
              <w:top w:val="nil"/>
              <w:left w:val="nil"/>
              <w:bottom w:val="nil"/>
            </w:tcBorders>
            <w:shd w:val="clear" w:color="auto" w:fill="FFFFFF"/>
            <w:vAlign w:val="center"/>
            <w:hideMark/>
          </w:tcPr>
          <w:p w14:paraId="7E681C67" w14:textId="77777777" w:rsidR="00B231CA" w:rsidRPr="009C3AC7" w:rsidRDefault="00B231CA" w:rsidP="00B231CA">
            <w:pPr>
              <w:pStyle w:val="tajtin"/>
              <w:spacing w:before="0" w:beforeAutospacing="0" w:after="0" w:afterAutospacing="0"/>
              <w:jc w:val="both"/>
              <w:rPr>
                <w:rFonts w:ascii="Arial" w:hAnsi="Arial" w:cs="Arial"/>
                <w:color w:val="000000"/>
                <w:sz w:val="20"/>
                <w:szCs w:val="20"/>
              </w:rPr>
            </w:pPr>
            <w:r w:rsidRPr="009C3AC7">
              <w:rPr>
                <w:rFonts w:ascii="Arial" w:hAnsi="Arial" w:cs="Arial"/>
                <w:b/>
                <w:bCs/>
                <w:color w:val="000000"/>
                <w:sz w:val="20"/>
                <w:szCs w:val="20"/>
              </w:rPr>
              <w:t> </w:t>
            </w:r>
          </w:p>
        </w:tc>
      </w:tr>
    </w:tbl>
    <w:p w14:paraId="69A142C0" w14:textId="6C8B367C" w:rsidR="002530AA" w:rsidRPr="009C3AC7" w:rsidRDefault="002530AA" w:rsidP="00A31F27">
      <w:pPr>
        <w:ind w:firstLine="567"/>
        <w:jc w:val="both"/>
      </w:pPr>
      <w:r w:rsidRPr="009C3AC7">
        <w:t>Įstaigos rodiklis – 83,14 procento.</w:t>
      </w:r>
    </w:p>
    <w:p w14:paraId="34A1B822" w14:textId="22BDE259" w:rsidR="00EE129D" w:rsidRPr="009C3AC7" w:rsidRDefault="00EE129D" w:rsidP="00A31F27">
      <w:pPr>
        <w:ind w:firstLine="567"/>
        <w:jc w:val="both"/>
      </w:pPr>
      <w:r w:rsidRPr="009C3AC7">
        <w:rPr>
          <w:u w:val="single"/>
        </w:rPr>
        <w:t xml:space="preserve">3. </w:t>
      </w:r>
      <w:r w:rsidR="009931C5" w:rsidRPr="009C3AC7">
        <w:rPr>
          <w:u w:val="single"/>
        </w:rPr>
        <w:t xml:space="preserve">Įstaigos sąnaudų valdymo išlaidoms dalis </w:t>
      </w:r>
      <w:r w:rsidRPr="009C3AC7">
        <w:rPr>
          <w:u w:val="single"/>
        </w:rPr>
        <w:t>(įstaigos vadovo, vyriausiojo buhalt</w:t>
      </w:r>
      <w:r w:rsidR="00F374AC" w:rsidRPr="009C3AC7">
        <w:rPr>
          <w:u w:val="single"/>
        </w:rPr>
        <w:t>e</w:t>
      </w:r>
      <w:r w:rsidRPr="009C3AC7">
        <w:rPr>
          <w:u w:val="single"/>
        </w:rPr>
        <w:t>rio) patirtos darbo užmokesčio, socialinio draudimo įmokų ir kitų išlaidų (prekių ir paslaugų naudojimo išlaidos, darbo vietų įkūrimo, administracinių pastatų, įskaitant ir remontą, sąnaudos, darbdavių socialinės pašalpos, materialiojo ir nematerialiojo turto įsigijimo išlaidos sąnaudos dalijamos iš pagrindinės ir kitos veiklos sąnaudų per metus sumos ir išreiškiamos procentais)</w:t>
      </w:r>
      <w:r w:rsidR="00742CC9" w:rsidRPr="009C3AC7">
        <w:rPr>
          <w:u w:val="single"/>
        </w:rPr>
        <w:t xml:space="preserve">. </w:t>
      </w:r>
      <w:r w:rsidR="00742CC9" w:rsidRPr="009C3AC7">
        <w:t>Siektinas rezultatas – ne daugiau kaip 7,</w:t>
      </w:r>
      <w:r w:rsidR="004D0202" w:rsidRPr="009C3AC7">
        <w:t>0</w:t>
      </w:r>
      <w:r w:rsidR="00742CC9" w:rsidRPr="009C3AC7">
        <w:t xml:space="preserve"> proc.</w:t>
      </w:r>
    </w:p>
    <w:p w14:paraId="2ECDF129" w14:textId="0D907880" w:rsidR="009070F7" w:rsidRPr="009C3AC7" w:rsidRDefault="009070F7" w:rsidP="009070F7">
      <w:pPr>
        <w:tabs>
          <w:tab w:val="left" w:pos="1134"/>
        </w:tabs>
        <w:ind w:firstLine="567"/>
        <w:jc w:val="both"/>
      </w:pPr>
      <w:r w:rsidRPr="009C3AC7">
        <w:t>Įstaigos sąnaudų valdymo išlaidoms dalis nuo visų įstaigos sąnaudų –</w:t>
      </w:r>
      <w:r w:rsidR="005F31EB" w:rsidRPr="009C3AC7">
        <w:t xml:space="preserve"> </w:t>
      </w:r>
      <w:r w:rsidR="00B856AC" w:rsidRPr="009C3AC7">
        <w:t xml:space="preserve">6 </w:t>
      </w:r>
      <w:r w:rsidRPr="009C3AC7">
        <w:rPr>
          <w:bCs/>
        </w:rPr>
        <w:t>proc.</w:t>
      </w:r>
    </w:p>
    <w:p w14:paraId="5CCCD82F" w14:textId="59C01680" w:rsidR="009070F7" w:rsidRPr="009C3AC7" w:rsidRDefault="009070F7" w:rsidP="009070F7">
      <w:pPr>
        <w:ind w:firstLine="567"/>
        <w:jc w:val="both"/>
      </w:pPr>
      <w:r w:rsidRPr="009C3AC7">
        <w:t>Sąnaudos valdymo išlaidoms –</w:t>
      </w:r>
      <w:r w:rsidR="005F31EB" w:rsidRPr="009C3AC7">
        <w:t xml:space="preserve"> </w:t>
      </w:r>
      <w:r w:rsidR="00B856AC" w:rsidRPr="009C3AC7">
        <w:t>89882,0</w:t>
      </w:r>
      <w:r w:rsidR="00F8109D" w:rsidRPr="009C3AC7">
        <w:t>3</w:t>
      </w:r>
      <w:r w:rsidR="00B856AC" w:rsidRPr="009C3AC7">
        <w:t xml:space="preserve"> </w:t>
      </w:r>
      <w:r w:rsidRPr="009C3AC7">
        <w:t>Eur.</w:t>
      </w:r>
    </w:p>
    <w:p w14:paraId="1B3086BB" w14:textId="77777777" w:rsidR="00F734F0" w:rsidRPr="009C3AC7" w:rsidRDefault="00EE129D" w:rsidP="008155D6">
      <w:pPr>
        <w:ind w:firstLine="567"/>
        <w:jc w:val="both"/>
        <w:rPr>
          <w:u w:val="single"/>
        </w:rPr>
      </w:pPr>
      <w:r w:rsidRPr="009C3AC7">
        <w:rPr>
          <w:u w:val="single"/>
        </w:rPr>
        <w:t xml:space="preserve">4. Įstaigos finansinių įsipareigojimų dalis nuo metinio įstaigos biudžeto </w:t>
      </w:r>
    </w:p>
    <w:p w14:paraId="5ED7F9F5" w14:textId="73DA5D0C" w:rsidR="00EE129D" w:rsidRPr="009C3AC7" w:rsidRDefault="00EE129D" w:rsidP="008155D6">
      <w:pPr>
        <w:ind w:firstLine="567"/>
        <w:jc w:val="both"/>
      </w:pPr>
      <w:r w:rsidRPr="009C3AC7">
        <w:t xml:space="preserve">Rodiklio reikšmė apskaičiuojama </w:t>
      </w:r>
      <w:r w:rsidR="008155D6" w:rsidRPr="009C3AC7">
        <w:t xml:space="preserve">pagal formulę: </w:t>
      </w:r>
      <w:r w:rsidR="008155D6" w:rsidRPr="009C3AC7">
        <w:rPr>
          <w:i/>
        </w:rPr>
        <w:t xml:space="preserve">įsipareigojimai:sąnaudos. </w:t>
      </w:r>
    </w:p>
    <w:p w14:paraId="1E9D0FE3" w14:textId="243D5AF1" w:rsidR="00EE129D" w:rsidRPr="009C3AC7" w:rsidRDefault="00EE129D" w:rsidP="00EE129D">
      <w:pPr>
        <w:ind w:firstLine="567"/>
        <w:jc w:val="both"/>
      </w:pPr>
      <w:r w:rsidRPr="009C3AC7">
        <w:t>Neringos PSPC</w:t>
      </w:r>
      <w:r w:rsidR="008155D6" w:rsidRPr="009C3AC7">
        <w:t xml:space="preserve"> įstaigos įsipareigojimai –</w:t>
      </w:r>
      <w:r w:rsidR="005F31EB" w:rsidRPr="009C3AC7">
        <w:t xml:space="preserve"> </w:t>
      </w:r>
      <w:r w:rsidR="00423D8E" w:rsidRPr="009C3AC7">
        <w:t xml:space="preserve">91289,43 </w:t>
      </w:r>
      <w:r w:rsidR="008155D6" w:rsidRPr="009C3AC7">
        <w:t>Eur,</w:t>
      </w:r>
      <w:r w:rsidRPr="009C3AC7">
        <w:t xml:space="preserve"> </w:t>
      </w:r>
      <w:r w:rsidR="008155D6" w:rsidRPr="009C3AC7">
        <w:t>sąnaudos sudaro</w:t>
      </w:r>
      <w:r w:rsidRPr="009C3AC7">
        <w:t xml:space="preserve"> </w:t>
      </w:r>
      <w:r w:rsidR="00423D8E" w:rsidRPr="009C3AC7">
        <w:t xml:space="preserve">1 498 033,86 </w:t>
      </w:r>
      <w:r w:rsidRPr="009C3AC7">
        <w:t xml:space="preserve">Eur, </w:t>
      </w:r>
      <w:r w:rsidR="008155D6" w:rsidRPr="009C3AC7">
        <w:t>įsipareigojimų koeficientas yra</w:t>
      </w:r>
      <w:r w:rsidRPr="009C3AC7">
        <w:t xml:space="preserve"> </w:t>
      </w:r>
      <w:r w:rsidR="00423D8E" w:rsidRPr="009C3AC7">
        <w:t>0,06.</w:t>
      </w:r>
      <w:r w:rsidR="005F31EB" w:rsidRPr="009C3AC7">
        <w:t xml:space="preserve"> </w:t>
      </w:r>
      <w:r w:rsidR="008155D6" w:rsidRPr="009C3AC7">
        <w:t xml:space="preserve">Siektina reikšmė – įsipareigojimų koeficientas ne didesnis </w:t>
      </w:r>
      <w:r w:rsidR="008155D6" w:rsidRPr="009C3AC7">
        <w:br/>
        <w:t>kaip 0,10.</w:t>
      </w:r>
    </w:p>
    <w:p w14:paraId="0A772FD1" w14:textId="3F24A984" w:rsidR="00EE129D" w:rsidRPr="009C3AC7" w:rsidRDefault="00EE129D" w:rsidP="00EE129D">
      <w:pPr>
        <w:ind w:firstLine="567"/>
        <w:jc w:val="both"/>
        <w:rPr>
          <w:u w:val="single"/>
        </w:rPr>
      </w:pPr>
      <w:r w:rsidRPr="009C3AC7">
        <w:rPr>
          <w:u w:val="single"/>
        </w:rPr>
        <w:t>5. Papildomų finansavimo šaltinių pritraukimas</w:t>
      </w:r>
      <w:r w:rsidR="005F31EB" w:rsidRPr="009C3AC7">
        <w:rPr>
          <w:u w:val="single"/>
        </w:rPr>
        <w:t>. Įstaiga per pastaruosius 3 m. yra pasirašiusi bent vieną sutartį dėl dalyvavimo projekte, iš kurio gauna papildomą finansavimą.</w:t>
      </w:r>
    </w:p>
    <w:p w14:paraId="48D61605" w14:textId="02B45EBA" w:rsidR="00FB6D90" w:rsidRPr="009C3AC7" w:rsidRDefault="00FB6D90" w:rsidP="00EE129D">
      <w:pPr>
        <w:ind w:firstLine="567"/>
        <w:jc w:val="both"/>
      </w:pPr>
      <w:r w:rsidRPr="009C3AC7">
        <w:t>Per pastaruosius 3 m. Neringos PSPC pasirašytos sutartys dėl dalyvavimo projekte, iš kuri</w:t>
      </w:r>
      <w:r w:rsidR="009A7355">
        <w:t>ų</w:t>
      </w:r>
      <w:r w:rsidRPr="009C3AC7">
        <w:t xml:space="preserve"> gaunamas papildomas finansavimas, galiojančios 2021 m.:</w:t>
      </w:r>
    </w:p>
    <w:p w14:paraId="7C880E0F" w14:textId="66D0537E" w:rsidR="006567ED" w:rsidRPr="009C3AC7" w:rsidRDefault="006567ED" w:rsidP="00FB6D90">
      <w:pPr>
        <w:pStyle w:val="Sraopastraipa"/>
        <w:numPr>
          <w:ilvl w:val="0"/>
          <w:numId w:val="23"/>
        </w:numPr>
        <w:tabs>
          <w:tab w:val="left" w:pos="709"/>
        </w:tabs>
        <w:ind w:left="0" w:firstLine="567"/>
        <w:jc w:val="both"/>
        <w:rPr>
          <w:u w:val="single"/>
        </w:rPr>
      </w:pPr>
      <w:r w:rsidRPr="009C3AC7">
        <w:t xml:space="preserve">Projektas </w:t>
      </w:r>
      <w:r w:rsidR="009A7355">
        <w:t>„</w:t>
      </w:r>
      <w:r w:rsidRPr="009C3AC7">
        <w:t>Atsinaujinančių energijos išteklių panaudojimas viešojoje įstaigoje Neringos pirminės sveikatos priežiūros centre</w:t>
      </w:r>
      <w:r w:rsidR="009A7355">
        <w:t>“</w:t>
      </w:r>
      <w:r w:rsidR="00FB6D90" w:rsidRPr="009C3AC7">
        <w:t>;</w:t>
      </w:r>
    </w:p>
    <w:p w14:paraId="3BD3C343" w14:textId="14C5DF59" w:rsidR="00FB6D90" w:rsidRPr="009C3AC7" w:rsidRDefault="00FB6D90" w:rsidP="00FB6D90">
      <w:pPr>
        <w:pStyle w:val="Sraopastraipa"/>
        <w:numPr>
          <w:ilvl w:val="0"/>
          <w:numId w:val="23"/>
        </w:numPr>
        <w:tabs>
          <w:tab w:val="left" w:pos="709"/>
        </w:tabs>
        <w:ind w:left="0" w:firstLine="567"/>
        <w:jc w:val="both"/>
        <w:rPr>
          <w:u w:val="single"/>
        </w:rPr>
      </w:pPr>
      <w:r w:rsidRPr="009C3AC7">
        <w:t>Projektas „Pirminės asmens sveikatos priežiūros veiklos efektyvumo didinimas Neringos savivaldybėje“.</w:t>
      </w:r>
    </w:p>
    <w:p w14:paraId="02DEF9E0" w14:textId="1105F753" w:rsidR="006567ED" w:rsidRDefault="006567ED" w:rsidP="00EE129D">
      <w:pPr>
        <w:ind w:firstLine="567"/>
        <w:jc w:val="both"/>
        <w:rPr>
          <w:u w:val="single"/>
        </w:rPr>
      </w:pPr>
    </w:p>
    <w:p w14:paraId="2CEDD783" w14:textId="3B718472" w:rsidR="00FB45A6" w:rsidRDefault="00FB45A6" w:rsidP="00EE129D">
      <w:pPr>
        <w:ind w:firstLine="567"/>
        <w:jc w:val="both"/>
        <w:rPr>
          <w:u w:val="single"/>
        </w:rPr>
      </w:pPr>
    </w:p>
    <w:p w14:paraId="0CF2EAAD" w14:textId="5E21997B" w:rsidR="00FB45A6" w:rsidRDefault="00FB45A6" w:rsidP="00EE129D">
      <w:pPr>
        <w:ind w:firstLine="567"/>
        <w:jc w:val="both"/>
        <w:rPr>
          <w:u w:val="single"/>
        </w:rPr>
      </w:pPr>
    </w:p>
    <w:p w14:paraId="4A09EB16" w14:textId="77777777" w:rsidR="00FB45A6" w:rsidRPr="009C3AC7" w:rsidRDefault="00FB45A6" w:rsidP="00EE129D">
      <w:pPr>
        <w:ind w:firstLine="567"/>
        <w:jc w:val="both"/>
        <w:rPr>
          <w:u w:val="single"/>
        </w:rPr>
      </w:pPr>
    </w:p>
    <w:p w14:paraId="3B5C0370" w14:textId="1C089B89" w:rsidR="00EE129D" w:rsidRPr="009C3AC7" w:rsidRDefault="008155D6" w:rsidP="00AF4890">
      <w:pPr>
        <w:ind w:firstLine="567"/>
        <w:jc w:val="center"/>
        <w:rPr>
          <w:b/>
        </w:rPr>
      </w:pPr>
      <w:r w:rsidRPr="009C3AC7">
        <w:rPr>
          <w:b/>
        </w:rPr>
        <w:lastRenderedPageBreak/>
        <w:t>II. Veiklos rezultatų vertinimo rodikliai</w:t>
      </w:r>
    </w:p>
    <w:p w14:paraId="5459BC25" w14:textId="77777777" w:rsidR="00F734F0" w:rsidRPr="009C3AC7" w:rsidRDefault="00F734F0" w:rsidP="00F734F0">
      <w:pPr>
        <w:ind w:left="927"/>
        <w:jc w:val="center"/>
        <w:rPr>
          <w:b/>
        </w:rPr>
      </w:pPr>
    </w:p>
    <w:p w14:paraId="74335EEC" w14:textId="7B9FCB88" w:rsidR="00880739" w:rsidRPr="009C3AC7" w:rsidRDefault="006C56B5" w:rsidP="00C14AAA">
      <w:pPr>
        <w:ind w:firstLine="567"/>
        <w:jc w:val="both"/>
        <w:rPr>
          <w:u w:val="single"/>
        </w:rPr>
      </w:pPr>
      <w:r>
        <w:rPr>
          <w:u w:val="single"/>
        </w:rPr>
        <w:t xml:space="preserve">1. </w:t>
      </w:r>
      <w:r w:rsidR="00880739" w:rsidRPr="009C3AC7">
        <w:rPr>
          <w:u w:val="single"/>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 (pacientų pasitenkinimo ASPĮ teikiamomis asmens sveikatos priežiūros paslaugomis lygis ne mažiau kaip 0,8 balo)</w:t>
      </w:r>
      <w:r w:rsidR="009A7355">
        <w:rPr>
          <w:u w:val="single"/>
        </w:rPr>
        <w:t>.</w:t>
      </w:r>
    </w:p>
    <w:p w14:paraId="1C960FBC" w14:textId="42D6C618" w:rsidR="00C14AAA" w:rsidRPr="009C3AC7" w:rsidRDefault="00C14AAA" w:rsidP="00C14AAA">
      <w:pPr>
        <w:ind w:firstLine="567"/>
        <w:jc w:val="both"/>
      </w:pPr>
      <w:r w:rsidRPr="009C3AC7">
        <w:t>202</w:t>
      </w:r>
      <w:r w:rsidR="00E87F44" w:rsidRPr="009C3AC7">
        <w:t>1</w:t>
      </w:r>
      <w:r w:rsidRPr="009C3AC7">
        <w:t xml:space="preserve"> m. buvo vykdoma </w:t>
      </w:r>
      <w:r w:rsidR="00585AEC" w:rsidRPr="009C3AC7">
        <w:t>P</w:t>
      </w:r>
      <w:r w:rsidRPr="009C3AC7">
        <w:t>alaikomojo gydymo</w:t>
      </w:r>
      <w:r w:rsidR="00585AEC" w:rsidRPr="009C3AC7">
        <w:t xml:space="preserve"> ir slaugos</w:t>
      </w:r>
      <w:r w:rsidRPr="009C3AC7">
        <w:t xml:space="preserve"> skyriaus pacientų apklausa ir ambulatoriškai besikreipiančių pacientų apklausa, siekiant išsiaiškinti, kaip pacientai vertina įstaigos teikiamų paslaugų kokybę. </w:t>
      </w:r>
    </w:p>
    <w:p w14:paraId="43E65313" w14:textId="045ACD9C" w:rsidR="00C14AAA" w:rsidRPr="009C3AC7" w:rsidRDefault="00C14AAA" w:rsidP="00C14AAA">
      <w:pPr>
        <w:ind w:firstLine="567"/>
        <w:jc w:val="both"/>
      </w:pPr>
      <w:r w:rsidRPr="009C3AC7">
        <w:t>Suteiktomis stacionarinėmis asmens sveikatos priežiūros paslaugomis patenkinti 9</w:t>
      </w:r>
      <w:r w:rsidR="00E87F44" w:rsidRPr="009C3AC7">
        <w:t>5,2</w:t>
      </w:r>
      <w:r w:rsidRPr="009C3AC7">
        <w:t xml:space="preserve"> procentai pacientų.</w:t>
      </w:r>
    </w:p>
    <w:p w14:paraId="77F63CB9" w14:textId="77777777" w:rsidR="003C77E5" w:rsidRPr="009C3AC7" w:rsidRDefault="00C14AAA" w:rsidP="003C77E5">
      <w:pPr>
        <w:ind w:firstLine="567"/>
        <w:jc w:val="both"/>
      </w:pPr>
      <w:r w:rsidRPr="009C3AC7">
        <w:t>Ambulatoriškai teiktomis paslaugomis liko patenkinti 9</w:t>
      </w:r>
      <w:r w:rsidR="00E87F44" w:rsidRPr="009C3AC7">
        <w:t>3,3</w:t>
      </w:r>
      <w:r w:rsidRPr="009C3AC7">
        <w:t xml:space="preserve"> procentai pacientų.</w:t>
      </w:r>
      <w:r w:rsidR="003C77E5" w:rsidRPr="009C3AC7">
        <w:t xml:space="preserve"> </w:t>
      </w:r>
      <w:r w:rsidRPr="009C3AC7">
        <w:t>Bendras pacientų pasitenkinimo įstaigos teikiamomis paslaugomis lygis yra 9</w:t>
      </w:r>
      <w:r w:rsidR="00E87F44" w:rsidRPr="009C3AC7">
        <w:t>4,25</w:t>
      </w:r>
      <w:r w:rsidRPr="009C3AC7">
        <w:t xml:space="preserve"> procentai.</w:t>
      </w:r>
      <w:r w:rsidR="003C77E5" w:rsidRPr="009C3AC7">
        <w:t xml:space="preserve"> </w:t>
      </w:r>
    </w:p>
    <w:p w14:paraId="1416D53D" w14:textId="459C8DDD" w:rsidR="003C77E5" w:rsidRPr="009C3AC7" w:rsidRDefault="003C77E5" w:rsidP="003C77E5">
      <w:pPr>
        <w:ind w:firstLine="567"/>
        <w:jc w:val="both"/>
      </w:pPr>
      <w:r w:rsidRPr="009C3AC7">
        <w:t>Palaikomojo gydymo ir slaugos skyriaus paslaugų vertinimo rodiklis yra 1. Ambulatorinių asmens sveikatos priežiūros paslaugų vertinimo rodiklis yra 0,98. Bendras pasitenkinimo paslaugomis lygio rodiklis įstaigoje yra 0,99 balo.</w:t>
      </w:r>
    </w:p>
    <w:p w14:paraId="1C71FA2E" w14:textId="66D6B9EE" w:rsidR="00EE129D" w:rsidRPr="009C3AC7" w:rsidRDefault="00EE129D" w:rsidP="007005A8">
      <w:pPr>
        <w:ind w:firstLine="567"/>
        <w:jc w:val="both"/>
      </w:pPr>
      <w:r w:rsidRPr="009C3AC7">
        <w:rPr>
          <w:u w:val="single"/>
        </w:rPr>
        <w:t xml:space="preserve">2. </w:t>
      </w:r>
      <w:r w:rsidR="007005A8" w:rsidRPr="009C3AC7">
        <w:rPr>
          <w:u w:val="single"/>
        </w:rPr>
        <w:t>Įstaigoje gautų pacientų skundų dėl įstaigoje suteiktų asmens sveikatos priežiūros paslaugų skaičius per metus ir pagrįstų skundų dalis</w:t>
      </w:r>
      <w:r w:rsidR="00880739" w:rsidRPr="009C3AC7">
        <w:rPr>
          <w:u w:val="single"/>
        </w:rPr>
        <w:t xml:space="preserve"> (nenustatoma)</w:t>
      </w:r>
      <w:r w:rsidR="009A7355">
        <w:rPr>
          <w:u w:val="single"/>
        </w:rPr>
        <w:t>.</w:t>
      </w:r>
    </w:p>
    <w:p w14:paraId="5B9776D9" w14:textId="7B283156" w:rsidR="00EE129D" w:rsidRPr="009C3AC7" w:rsidRDefault="00EE129D" w:rsidP="00EE129D">
      <w:pPr>
        <w:ind w:firstLine="567"/>
        <w:jc w:val="both"/>
      </w:pPr>
      <w:r w:rsidRPr="009C3AC7">
        <w:t xml:space="preserve">Įstaiga pagrįstų rašytinių pacientų skundų dėl </w:t>
      </w:r>
      <w:r w:rsidR="00BA5A29" w:rsidRPr="009C3AC7">
        <w:t>su</w:t>
      </w:r>
      <w:r w:rsidRPr="009C3AC7">
        <w:t>teik</w:t>
      </w:r>
      <w:r w:rsidR="00BA5A29" w:rsidRPr="009C3AC7">
        <w:t>tų asmens sveikatos priežiūros</w:t>
      </w:r>
      <w:r w:rsidRPr="009C3AC7">
        <w:t xml:space="preserve"> paslaugų kokybės negavo.</w:t>
      </w:r>
    </w:p>
    <w:p w14:paraId="5CB74F40" w14:textId="56A7BFF8" w:rsidR="00EE129D" w:rsidRPr="009C3AC7" w:rsidRDefault="00EE129D" w:rsidP="00EE129D">
      <w:pPr>
        <w:ind w:firstLine="567"/>
        <w:jc w:val="both"/>
      </w:pPr>
      <w:r w:rsidRPr="009C3AC7">
        <w:rPr>
          <w:u w:val="single"/>
        </w:rPr>
        <w:t xml:space="preserve">3. </w:t>
      </w:r>
      <w:r w:rsidR="007005A8" w:rsidRPr="009C3AC7">
        <w:rPr>
          <w:u w:val="single"/>
        </w:rPr>
        <w:t>Įstaigoje gautų pagrįstų skundų dalis nuo visų įstaigoje suteiktų asmens sveikatos priežiūros paslaugų skaičiaus per metus pagal sveikatos apsaugos ministro nustatytas paslaugų grupes (nenustatoma)</w:t>
      </w:r>
      <w:r w:rsidR="009A7355">
        <w:rPr>
          <w:u w:val="single"/>
        </w:rPr>
        <w:t>.</w:t>
      </w:r>
    </w:p>
    <w:p w14:paraId="3DCCAAED" w14:textId="7C7C6522" w:rsidR="00EE129D" w:rsidRPr="009C3AC7" w:rsidRDefault="00012C3F" w:rsidP="00EE129D">
      <w:pPr>
        <w:ind w:firstLine="567"/>
        <w:jc w:val="both"/>
        <w:rPr>
          <w:bCs/>
          <w:u w:val="single"/>
          <w:shd w:val="clear" w:color="auto" w:fill="FFFFFF"/>
        </w:rPr>
      </w:pPr>
      <w:r w:rsidRPr="009C3AC7">
        <w:rPr>
          <w:bCs/>
          <w:u w:val="single"/>
          <w:shd w:val="clear" w:color="auto" w:fill="FFFFFF"/>
        </w:rPr>
        <w:t xml:space="preserve">4. </w:t>
      </w:r>
      <w:r w:rsidR="007005A8" w:rsidRPr="009C3AC7">
        <w:rPr>
          <w:bCs/>
          <w:u w:val="single"/>
          <w:shd w:val="clear" w:color="auto" w:fill="FFFFFF"/>
        </w:rPr>
        <w:t>Įstaigoje taikomos kovos su korupcija priemonės, numatytos sveikatos apsaugos ministro tvirtinamoje Sveikatos priežiūros srities korupcijos prevencijos programoje</w:t>
      </w:r>
      <w:r w:rsidR="009A7355">
        <w:rPr>
          <w:bCs/>
          <w:u w:val="single"/>
          <w:shd w:val="clear" w:color="auto" w:fill="FFFFFF"/>
        </w:rPr>
        <w:t>.</w:t>
      </w:r>
      <w:r w:rsidR="007005A8" w:rsidRPr="009C3AC7">
        <w:rPr>
          <w:bCs/>
          <w:u w:val="single"/>
          <w:shd w:val="clear" w:color="auto" w:fill="FFFFFF"/>
        </w:rPr>
        <w:t xml:space="preserve"> </w:t>
      </w:r>
    </w:p>
    <w:p w14:paraId="6FC62B8D" w14:textId="4924E881" w:rsidR="00EE129D" w:rsidRPr="009C3AC7" w:rsidRDefault="00880739" w:rsidP="00880739">
      <w:pPr>
        <w:ind w:firstLine="567"/>
        <w:jc w:val="both"/>
        <w:rPr>
          <w:bCs/>
          <w:color w:val="000000"/>
          <w:shd w:val="clear" w:color="auto" w:fill="FFFFFF"/>
        </w:rPr>
      </w:pPr>
      <w:r w:rsidRPr="009C3AC7">
        <w:rPr>
          <w:bCs/>
          <w:color w:val="000000"/>
          <w:shd w:val="clear" w:color="auto" w:fill="FFFFFF"/>
        </w:rPr>
        <w:t>Vadovaujantis Skaidrios asmens sveikatos priežiūros įstaigos vardo suteikimo tvarko aprašu, patvirtintu Lietuvos Respublikos sveikatos apsaugos ministro 2015 m. sausio 26 d. įsakymu Nr. V-65 „Dėl Skaidrios asmens sveikatos priežiūros įstaigos vardo suteikimo tvarkos aprašo patvirtinimo“</w:t>
      </w:r>
      <w:r w:rsidR="00C5674B" w:rsidRPr="009C3AC7">
        <w:rPr>
          <w:bCs/>
          <w:color w:val="000000"/>
          <w:shd w:val="clear" w:color="auto" w:fill="FFFFFF"/>
        </w:rPr>
        <w:t>,</w:t>
      </w:r>
      <w:r w:rsidR="00C5674B" w:rsidRPr="009C3AC7">
        <w:rPr>
          <w:bCs/>
          <w:color w:val="000000"/>
          <w:shd w:val="clear" w:color="auto" w:fill="FFFFFF"/>
        </w:rPr>
        <w:br/>
      </w:r>
      <w:r w:rsidR="00EE129D" w:rsidRPr="009C3AC7">
        <w:rPr>
          <w:bCs/>
          <w:color w:val="000000"/>
          <w:shd w:val="clear" w:color="auto" w:fill="FFFFFF"/>
        </w:rPr>
        <w:t>2019 metais įstaigai suteiktas Skaidrios asmens sveikatos priežiūros įstaigos vardas.</w:t>
      </w:r>
    </w:p>
    <w:p w14:paraId="393D6AA3" w14:textId="4B40B399" w:rsidR="007005A8" w:rsidRPr="009C3AC7" w:rsidRDefault="007005A8" w:rsidP="00EE129D">
      <w:pPr>
        <w:ind w:firstLine="567"/>
        <w:jc w:val="both"/>
        <w:rPr>
          <w:bCs/>
          <w:color w:val="000000"/>
          <w:u w:val="single"/>
          <w:shd w:val="clear" w:color="auto" w:fill="FFFFFF"/>
        </w:rPr>
      </w:pPr>
      <w:r w:rsidRPr="009C3AC7">
        <w:rPr>
          <w:bCs/>
          <w:color w:val="000000"/>
          <w:u w:val="single"/>
          <w:shd w:val="clear" w:color="auto" w:fill="FFFFFF"/>
        </w:rPr>
        <w:t>5.</w:t>
      </w:r>
      <w:r w:rsidRPr="009C3AC7">
        <w:rPr>
          <w:u w:val="single"/>
        </w:rPr>
        <w:t xml:space="preserve"> </w:t>
      </w:r>
      <w:r w:rsidRPr="009C3AC7">
        <w:rPr>
          <w:bCs/>
          <w:color w:val="000000"/>
          <w:u w:val="single"/>
          <w:shd w:val="clear" w:color="auto" w:fill="FFFFFF"/>
        </w:rPr>
        <w:t>Informacinių technologijų diegimo ir plėtros lygis (pacientų elektroninės registracijos sistema, įstaigos interneto svetainės išsamumas, darbuotojų darbo krūvio apskaita, įstaigos dalyvavimo elektroninėje sveikatos sistemoje mastas)</w:t>
      </w:r>
      <w:r w:rsidR="009A7355">
        <w:rPr>
          <w:bCs/>
          <w:color w:val="000000"/>
          <w:u w:val="single"/>
          <w:shd w:val="clear" w:color="auto" w:fill="FFFFFF"/>
        </w:rPr>
        <w:t>.</w:t>
      </w:r>
    </w:p>
    <w:p w14:paraId="0C5934E9" w14:textId="1C25FEEF" w:rsidR="00DA02C4" w:rsidRPr="009C3AC7" w:rsidRDefault="00BA5A29" w:rsidP="00DA02C4">
      <w:pPr>
        <w:ind w:firstLine="567"/>
        <w:jc w:val="both"/>
        <w:rPr>
          <w:bCs/>
          <w:color w:val="000000"/>
          <w:shd w:val="clear" w:color="auto" w:fill="FFFFFF"/>
        </w:rPr>
      </w:pPr>
      <w:r w:rsidRPr="009C3AC7">
        <w:rPr>
          <w:bCs/>
          <w:color w:val="000000"/>
          <w:shd w:val="clear" w:color="auto" w:fill="FFFFFF"/>
        </w:rPr>
        <w:t>Neringos PSPC</w:t>
      </w:r>
      <w:r w:rsidR="00C5674B" w:rsidRPr="009C3AC7">
        <w:rPr>
          <w:bCs/>
          <w:color w:val="000000"/>
          <w:shd w:val="clear" w:color="auto" w:fill="FFFFFF"/>
        </w:rPr>
        <w:t>:</w:t>
      </w:r>
    </w:p>
    <w:p w14:paraId="6A617FE1" w14:textId="4236008B" w:rsidR="00C5674B" w:rsidRPr="00ED0FA3" w:rsidRDefault="00C5674B" w:rsidP="00ED0FA3">
      <w:pPr>
        <w:pStyle w:val="Sraopastraipa"/>
        <w:numPr>
          <w:ilvl w:val="0"/>
          <w:numId w:val="24"/>
        </w:numPr>
        <w:jc w:val="both"/>
        <w:rPr>
          <w:bCs/>
          <w:color w:val="000000"/>
          <w:shd w:val="clear" w:color="auto" w:fill="FFFFFF"/>
        </w:rPr>
      </w:pPr>
      <w:r w:rsidRPr="00ED0FA3">
        <w:rPr>
          <w:bCs/>
          <w:color w:val="000000"/>
          <w:shd w:val="clear" w:color="auto" w:fill="FFFFFF"/>
        </w:rPr>
        <w:t>išrašant e. receptus, vaistų sąveikų tikrinimo funkcionalumas naudojamas visa apimtimi;</w:t>
      </w:r>
    </w:p>
    <w:p w14:paraId="264C9254" w14:textId="2768336E" w:rsidR="00C5674B" w:rsidRPr="00ED0FA3" w:rsidRDefault="00C5674B" w:rsidP="00ED0FA3">
      <w:pPr>
        <w:pStyle w:val="Sraopastraipa"/>
        <w:numPr>
          <w:ilvl w:val="0"/>
          <w:numId w:val="24"/>
        </w:numPr>
        <w:jc w:val="both"/>
        <w:rPr>
          <w:bCs/>
          <w:color w:val="000000"/>
          <w:shd w:val="clear" w:color="auto" w:fill="FFFFFF"/>
        </w:rPr>
      </w:pPr>
      <w:r w:rsidRPr="00ED0FA3">
        <w:rPr>
          <w:bCs/>
          <w:color w:val="000000"/>
          <w:shd w:val="clear" w:color="auto" w:fill="FFFFFF"/>
        </w:rPr>
        <w:t>yra IPR IS dalyvis</w:t>
      </w:r>
      <w:r w:rsidR="00F84C7C" w:rsidRPr="00ED0FA3">
        <w:rPr>
          <w:bCs/>
          <w:color w:val="000000"/>
          <w:shd w:val="clear" w:color="auto" w:fill="FFFFFF"/>
        </w:rPr>
        <w:t>;</w:t>
      </w:r>
    </w:p>
    <w:p w14:paraId="4BC4B679" w14:textId="2B234661" w:rsidR="00C5674B" w:rsidRPr="00ED0FA3" w:rsidRDefault="00C5674B" w:rsidP="00ED0FA3">
      <w:pPr>
        <w:pStyle w:val="Sraopastraipa"/>
        <w:numPr>
          <w:ilvl w:val="0"/>
          <w:numId w:val="24"/>
        </w:numPr>
        <w:jc w:val="both"/>
        <w:rPr>
          <w:bCs/>
          <w:color w:val="000000"/>
          <w:shd w:val="clear" w:color="auto" w:fill="FFFFFF"/>
        </w:rPr>
      </w:pPr>
      <w:r w:rsidRPr="00ED0FA3">
        <w:rPr>
          <w:bCs/>
          <w:color w:val="000000"/>
          <w:shd w:val="clear" w:color="auto" w:fill="FFFFFF"/>
        </w:rPr>
        <w:t>ne mažiau kaip 98 proc. visų vakcinacijos įrašų  E063 išrašoma el. būdu</w:t>
      </w:r>
      <w:r w:rsidR="00F84C7C" w:rsidRPr="00ED0FA3">
        <w:rPr>
          <w:bCs/>
          <w:color w:val="000000"/>
          <w:shd w:val="clear" w:color="auto" w:fill="FFFFFF"/>
        </w:rPr>
        <w:t>;</w:t>
      </w:r>
    </w:p>
    <w:p w14:paraId="01C94ABF" w14:textId="3A819A4C" w:rsidR="00C5674B" w:rsidRPr="00ED0FA3" w:rsidRDefault="00F84C7C" w:rsidP="00ED0FA3">
      <w:pPr>
        <w:pStyle w:val="Sraopastraipa"/>
        <w:numPr>
          <w:ilvl w:val="0"/>
          <w:numId w:val="24"/>
        </w:numPr>
        <w:jc w:val="both"/>
        <w:rPr>
          <w:bCs/>
          <w:color w:val="000000"/>
          <w:shd w:val="clear" w:color="auto" w:fill="FFFFFF"/>
        </w:rPr>
      </w:pPr>
      <w:r w:rsidRPr="00ED0FA3">
        <w:rPr>
          <w:bCs/>
          <w:color w:val="000000"/>
          <w:shd w:val="clear" w:color="auto" w:fill="FFFFFF"/>
        </w:rPr>
        <w:t>p</w:t>
      </w:r>
      <w:r w:rsidR="00C5674B" w:rsidRPr="00ED0FA3">
        <w:rPr>
          <w:bCs/>
          <w:color w:val="000000"/>
          <w:shd w:val="clear" w:color="auto" w:fill="FFFFFF"/>
        </w:rPr>
        <w:t>atvirtinta naudojamos informacinės sistemos infrastruktūros saugumo dokumentacija</w:t>
      </w:r>
      <w:r w:rsidRPr="00ED0FA3">
        <w:rPr>
          <w:bCs/>
          <w:color w:val="000000"/>
          <w:shd w:val="clear" w:color="auto" w:fill="FFFFFF"/>
        </w:rPr>
        <w:t>.</w:t>
      </w:r>
    </w:p>
    <w:p w14:paraId="663226D8" w14:textId="5C18995F" w:rsidR="004F3C00" w:rsidRPr="009C3AC7" w:rsidRDefault="004F3C00" w:rsidP="00EE129D">
      <w:pPr>
        <w:ind w:firstLine="567"/>
        <w:jc w:val="both"/>
        <w:rPr>
          <w:u w:val="single"/>
        </w:rPr>
      </w:pPr>
      <w:r w:rsidRPr="009C3AC7">
        <w:rPr>
          <w:u w:val="single"/>
        </w:rPr>
        <w:t>6. Įstaigoje suteiktų asmens sveikatos priežiūros paslaugų skaičius per ketvirtį ir per metus pagal sveikatos apsaugos ministro nustatytas paslaugų grupes (nenustatoma).</w:t>
      </w:r>
    </w:p>
    <w:p w14:paraId="519792B1" w14:textId="30B59C72" w:rsidR="004F3C00" w:rsidRPr="009C3AC7" w:rsidRDefault="004F3C00" w:rsidP="00EE129D">
      <w:pPr>
        <w:ind w:firstLine="567"/>
        <w:jc w:val="both"/>
        <w:rPr>
          <w:u w:val="single"/>
        </w:rPr>
      </w:pPr>
      <w:r w:rsidRPr="009C3AC7">
        <w:rPr>
          <w:u w:val="single"/>
        </w:rPr>
        <w:t>7. Vidutinis laikas nuo paciento kreipimosi į įstaigą dėl asmens sveikatos priežiūros paslaugos suteikimo momento iki paskirto paslaugos gavimo laiko pagal sveikatos apsaugos ministro nustatytas paslaugų grupes (nenustatoma)</w:t>
      </w:r>
      <w:r w:rsidR="00ED0FA3">
        <w:rPr>
          <w:u w:val="single"/>
        </w:rPr>
        <w:t>.</w:t>
      </w:r>
      <w:r w:rsidR="0055237A">
        <w:rPr>
          <w:u w:val="single"/>
        </w:rPr>
        <w:t xml:space="preserve"> </w:t>
      </w:r>
    </w:p>
    <w:p w14:paraId="50095C95" w14:textId="77777777" w:rsidR="00E56EC0" w:rsidRPr="009C3AC7" w:rsidRDefault="00E56EC0" w:rsidP="00E56EC0">
      <w:pPr>
        <w:ind w:firstLine="567"/>
        <w:jc w:val="both"/>
        <w:rPr>
          <w:shd w:val="clear" w:color="auto" w:fill="FFFFFF"/>
        </w:rPr>
      </w:pPr>
      <w:r w:rsidRPr="009C3AC7">
        <w:t xml:space="preserve">Vidutinis laikas nuo paciento kreipimosi į įstaigą dėl asmens sveikatos priežiūros paslaugos suteikimo momento iki paskirto paslaugos gavimo laiko pagal sveikatos apsaugos ministro nustatytas paslaugų grupes: </w:t>
      </w:r>
      <w:r w:rsidRPr="009C3AC7">
        <w:rPr>
          <w:shd w:val="clear" w:color="auto" w:fill="FFFFFF"/>
        </w:rPr>
        <w:t xml:space="preserve">pagal sutarties su Klaipėdos teritorine ligonių kasa specialiąsias sąlygas, įstaiga įpareigota, kad dėl ūmios ligos pirminės ambulatorinės asmens sveikatos priežiūros </w:t>
      </w:r>
      <w:r w:rsidRPr="009C3AC7">
        <w:t xml:space="preserve">(toliau tekste – </w:t>
      </w:r>
      <w:r w:rsidRPr="009C3AC7">
        <w:rPr>
          <w:shd w:val="clear" w:color="auto" w:fill="FFFFFF"/>
        </w:rPr>
        <w:t xml:space="preserve">PAASP) paslaugos būtų suteikiamos apdraustiesiems, prisirašiusiems prie įstaigos – jų kreipimosi į </w:t>
      </w:r>
      <w:r w:rsidRPr="009C3AC7">
        <w:rPr>
          <w:shd w:val="clear" w:color="auto" w:fill="FFFFFF"/>
        </w:rPr>
        <w:lastRenderedPageBreak/>
        <w:t>įstaigą dieną, o dėl lėtinių ligų – ne vėliau kaip per 7 dienas nuo jų kreipimosi į įstaigą dienos. Įstaiga, vykdydama šias sąlygas, kiekvieną mėnesį atlieka eilių stebėseną, teikia laukimo eilių ataskaitas Klaipėdos TLK, šiuos duomenis skelbia TLK interneto svetainėje. Neringos PSPC vidutinė laukimo trukmė pas šeimos gydytoją bei pas gydytoją odontologą yra 0–7 dienos. Ūmiai susirgę pacientai priimami tą pačią dieną.</w:t>
      </w:r>
    </w:p>
    <w:p w14:paraId="29A76E16" w14:textId="034FB056" w:rsidR="004F3C00" w:rsidRPr="009C3AC7" w:rsidRDefault="004F3C00" w:rsidP="00EE129D">
      <w:pPr>
        <w:ind w:firstLine="567"/>
        <w:jc w:val="both"/>
        <w:rPr>
          <w:u w:val="single"/>
        </w:rPr>
      </w:pPr>
      <w:r w:rsidRPr="009C3AC7">
        <w:rPr>
          <w:u w:val="single"/>
        </w:rPr>
        <w:t>8. Įstaigoje dirbančių darbuotojų ir etatų skaičius ir įstaigoje suteiktų asmens sveikatos priežiūros paslaugų skaičius per metus (nenustatoma)</w:t>
      </w:r>
      <w:r w:rsidR="006C56B5">
        <w:rPr>
          <w:u w:val="single"/>
        </w:rPr>
        <w:t>.</w:t>
      </w:r>
    </w:p>
    <w:p w14:paraId="1FCAB96A" w14:textId="48E66690" w:rsidR="00F84C7C" w:rsidRPr="009C3AC7" w:rsidRDefault="00F84C7C" w:rsidP="00677CD4">
      <w:pPr>
        <w:ind w:firstLine="567"/>
        <w:jc w:val="both"/>
      </w:pPr>
      <w:r w:rsidRPr="009C3AC7">
        <w:rPr>
          <w:u w:val="single"/>
        </w:rPr>
        <w:t>9</w:t>
      </w:r>
      <w:r w:rsidR="004F3C00" w:rsidRPr="009C3AC7">
        <w:rPr>
          <w:u w:val="single"/>
        </w:rPr>
        <w:t xml:space="preserve">. </w:t>
      </w:r>
      <w:r w:rsidRPr="009C3AC7">
        <w:rPr>
          <w:u w:val="single"/>
        </w:rPr>
        <w:t xml:space="preserve">Kritinis </w:t>
      </w:r>
      <w:r w:rsidR="004F3C00" w:rsidRPr="009C3AC7">
        <w:rPr>
          <w:u w:val="single"/>
        </w:rPr>
        <w:t>likvidumo rodiklis</w:t>
      </w:r>
      <w:r w:rsidR="006C56B5">
        <w:rPr>
          <w:u w:val="single"/>
        </w:rPr>
        <w:t xml:space="preserve">. </w:t>
      </w:r>
      <w:r w:rsidR="00677CD4" w:rsidRPr="009C3AC7">
        <w:t xml:space="preserve">Siektina reikšmė </w:t>
      </w:r>
      <w:r w:rsidRPr="009C3AC7">
        <w:t>ne mažiau 0,8</w:t>
      </w:r>
      <w:r w:rsidR="00677CD4" w:rsidRPr="009C3AC7">
        <w:t>. Rodiklio reikšmė apskaičiuojama: įstaigos</w:t>
      </w:r>
      <w:r w:rsidRPr="009C3AC7">
        <w:t xml:space="preserve"> likvidus trumpalaikis turta</w:t>
      </w:r>
      <w:r w:rsidR="006C56B5">
        <w:t xml:space="preserve">s / </w:t>
      </w:r>
      <w:r w:rsidRPr="009C3AC7">
        <w:t>trumpalaikių įsipareigojimų vertė.</w:t>
      </w:r>
    </w:p>
    <w:p w14:paraId="6DE59584" w14:textId="01F4A32A" w:rsidR="00677CD4" w:rsidRPr="009C3AC7" w:rsidRDefault="00677CD4" w:rsidP="00677CD4">
      <w:pPr>
        <w:ind w:firstLine="567"/>
        <w:jc w:val="both"/>
      </w:pPr>
      <w:r w:rsidRPr="009C3AC7">
        <w:t xml:space="preserve">Rodiklio reikšmė </w:t>
      </w:r>
      <w:r w:rsidR="00423D8E" w:rsidRPr="009C3AC7">
        <w:t>4</w:t>
      </w:r>
      <w:r w:rsidR="00EA39A4" w:rsidRPr="009C3AC7">
        <w:t>,60</w:t>
      </w:r>
      <w:r w:rsidR="006C56B5">
        <w:t>.</w:t>
      </w:r>
    </w:p>
    <w:p w14:paraId="68D68480" w14:textId="7C49360C" w:rsidR="004F3C00" w:rsidRPr="009C3AC7" w:rsidRDefault="006C56B5" w:rsidP="004F3C00">
      <w:pPr>
        <w:ind w:firstLine="567"/>
        <w:jc w:val="both"/>
        <w:rPr>
          <w:u w:val="single"/>
        </w:rPr>
      </w:pPr>
      <w:r>
        <w:rPr>
          <w:u w:val="single"/>
        </w:rPr>
        <w:t>10</w:t>
      </w:r>
      <w:r w:rsidR="004F3C00" w:rsidRPr="009C3AC7">
        <w:rPr>
          <w:u w:val="single"/>
        </w:rPr>
        <w:t>. Konsoliduotų viešųjų pirkimų skaičius</w:t>
      </w:r>
    </w:p>
    <w:p w14:paraId="26BA0395" w14:textId="20CBC811" w:rsidR="0089493D" w:rsidRPr="009C3AC7" w:rsidRDefault="0089493D" w:rsidP="004F3C00">
      <w:pPr>
        <w:ind w:firstLine="567"/>
        <w:jc w:val="both"/>
      </w:pPr>
      <w:r w:rsidRPr="009C3AC7">
        <w:t>Siektina reikšmė ne mažiau kaip 1.</w:t>
      </w:r>
    </w:p>
    <w:p w14:paraId="08A60DCD" w14:textId="3A06FCAC" w:rsidR="004F3C00" w:rsidRPr="009C3AC7" w:rsidRDefault="00D1752D" w:rsidP="004F3C00">
      <w:pPr>
        <w:ind w:firstLine="567"/>
        <w:jc w:val="both"/>
      </w:pPr>
      <w:r w:rsidRPr="009C3AC7">
        <w:t>202</w:t>
      </w:r>
      <w:r w:rsidR="00F84C7C" w:rsidRPr="009C3AC7">
        <w:t>1</w:t>
      </w:r>
      <w:r w:rsidRPr="009C3AC7">
        <w:t xml:space="preserve"> metais</w:t>
      </w:r>
      <w:r w:rsidR="00625C30" w:rsidRPr="009C3AC7">
        <w:t xml:space="preserve"> vykdytas </w:t>
      </w:r>
      <w:r w:rsidR="00F84C7C" w:rsidRPr="009C3AC7">
        <w:t xml:space="preserve">1 (vienas) </w:t>
      </w:r>
      <w:r w:rsidR="00625C30" w:rsidRPr="009C3AC7">
        <w:t>konsoliduotas viešasis pirkimas</w:t>
      </w:r>
      <w:r w:rsidR="00F84C7C" w:rsidRPr="009C3AC7">
        <w:t>.</w:t>
      </w:r>
    </w:p>
    <w:p w14:paraId="397C4718" w14:textId="1FB1BF19" w:rsidR="00480FC0" w:rsidRPr="009C3AC7" w:rsidRDefault="006C56B5" w:rsidP="00EE129D">
      <w:pPr>
        <w:ind w:firstLine="567"/>
        <w:jc w:val="both"/>
        <w:rPr>
          <w:u w:val="single"/>
        </w:rPr>
      </w:pPr>
      <w:r>
        <w:rPr>
          <w:u w:val="single"/>
        </w:rPr>
        <w:t xml:space="preserve">11. </w:t>
      </w:r>
      <w:r w:rsidR="00EE129D" w:rsidRPr="009C3AC7">
        <w:rPr>
          <w:u w:val="single"/>
        </w:rPr>
        <w:t>Elektroniniu būdu pildomų medicininės apskaitos dokument</w:t>
      </w:r>
      <w:r w:rsidR="00480FC0" w:rsidRPr="009C3AC7">
        <w:rPr>
          <w:u w:val="single"/>
        </w:rPr>
        <w:t>ai.</w:t>
      </w:r>
    </w:p>
    <w:p w14:paraId="4B888B22" w14:textId="3C0B4443" w:rsidR="000F6015" w:rsidRPr="009C3AC7" w:rsidRDefault="00480FC0" w:rsidP="00EE129D">
      <w:pPr>
        <w:ind w:firstLine="567"/>
        <w:jc w:val="both"/>
      </w:pPr>
      <w:r w:rsidRPr="009C3AC7">
        <w:t>Neringos PSPC</w:t>
      </w:r>
      <w:r w:rsidR="00EE129D" w:rsidRPr="009C3AC7">
        <w:t xml:space="preserve"> 20</w:t>
      </w:r>
      <w:r w:rsidR="003D7C4B" w:rsidRPr="009C3AC7">
        <w:t>2</w:t>
      </w:r>
      <w:r w:rsidRPr="009C3AC7">
        <w:t>1</w:t>
      </w:r>
      <w:r w:rsidR="00EE129D" w:rsidRPr="009C3AC7">
        <w:t xml:space="preserve"> m. iš viso išrašy</w:t>
      </w:r>
      <w:r w:rsidR="003D7C4B" w:rsidRPr="009C3AC7">
        <w:t>t</w:t>
      </w:r>
      <w:r w:rsidRPr="009C3AC7">
        <w:t>i</w:t>
      </w:r>
      <w:r w:rsidR="00677CD4" w:rsidRPr="009C3AC7">
        <w:t xml:space="preserve"> ir pasirašyti</w:t>
      </w:r>
      <w:r w:rsidR="000F6015" w:rsidRPr="009C3AC7">
        <w:t xml:space="preserve"> </w:t>
      </w:r>
      <w:r w:rsidRPr="009C3AC7">
        <w:t>32530</w:t>
      </w:r>
      <w:r w:rsidR="000F6015" w:rsidRPr="009C3AC7">
        <w:t xml:space="preserve"> elektroniniai dokumentai.</w:t>
      </w:r>
    </w:p>
    <w:p w14:paraId="45C575BE" w14:textId="3F711EBB" w:rsidR="00480FC0" w:rsidRPr="009C3AC7" w:rsidRDefault="00480FC0" w:rsidP="00C56A15">
      <w:pPr>
        <w:ind w:firstLine="567"/>
        <w:jc w:val="both"/>
        <w:rPr>
          <w:noProof/>
        </w:rPr>
      </w:pPr>
    </w:p>
    <w:p w14:paraId="2B16C8FD" w14:textId="1746842D" w:rsidR="00480FC0" w:rsidRPr="009C3AC7" w:rsidRDefault="00480FC0" w:rsidP="00480FC0">
      <w:pPr>
        <w:ind w:firstLine="567"/>
        <w:jc w:val="both"/>
        <w:rPr>
          <w:noProof/>
        </w:rPr>
      </w:pPr>
      <w:r w:rsidRPr="009C3AC7">
        <w:rPr>
          <w:noProof/>
        </w:rPr>
        <w:drawing>
          <wp:inline distT="0" distB="0" distL="0" distR="0" wp14:anchorId="3758922E" wp14:editId="0C508D19">
            <wp:extent cx="6019800" cy="44043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0390" t="24000" r="24065" b="3748"/>
                    <a:stretch/>
                  </pic:blipFill>
                  <pic:spPr bwMode="auto">
                    <a:xfrm>
                      <a:off x="0" y="0"/>
                      <a:ext cx="6031481" cy="4412906"/>
                    </a:xfrm>
                    <a:prstGeom prst="rect">
                      <a:avLst/>
                    </a:prstGeom>
                    <a:ln>
                      <a:noFill/>
                    </a:ln>
                    <a:extLst>
                      <a:ext uri="{53640926-AAD7-44D8-BBD7-CCE9431645EC}">
                        <a14:shadowObscured xmlns:a14="http://schemas.microsoft.com/office/drawing/2010/main"/>
                      </a:ext>
                    </a:extLst>
                  </pic:spPr>
                </pic:pic>
              </a:graphicData>
            </a:graphic>
          </wp:inline>
        </w:drawing>
      </w:r>
    </w:p>
    <w:p w14:paraId="0B17FA1B" w14:textId="77777777" w:rsidR="00EE129D" w:rsidRPr="009C3AC7" w:rsidRDefault="00EE129D" w:rsidP="00EE129D">
      <w:pPr>
        <w:tabs>
          <w:tab w:val="left" w:pos="0"/>
        </w:tabs>
        <w:ind w:left="567"/>
        <w:jc w:val="right"/>
        <w:rPr>
          <w:i/>
          <w:sz w:val="20"/>
          <w:szCs w:val="20"/>
        </w:rPr>
      </w:pPr>
      <w:r w:rsidRPr="009C3AC7">
        <w:rPr>
          <w:i/>
          <w:sz w:val="20"/>
          <w:szCs w:val="20"/>
        </w:rPr>
        <w:t>Esveikata.lt statistiniai duomenys</w:t>
      </w:r>
      <w:r w:rsidRPr="009C3AC7">
        <w:rPr>
          <w:rStyle w:val="Puslapioinaosnuoroda"/>
          <w:i/>
          <w:sz w:val="20"/>
          <w:szCs w:val="20"/>
        </w:rPr>
        <w:footnoteReference w:id="1"/>
      </w:r>
    </w:p>
    <w:p w14:paraId="31E2848C" w14:textId="77777777" w:rsidR="00EE129D" w:rsidRPr="009C3AC7" w:rsidRDefault="00EE129D" w:rsidP="00EE129D">
      <w:pPr>
        <w:ind w:firstLine="567"/>
        <w:jc w:val="both"/>
      </w:pPr>
    </w:p>
    <w:p w14:paraId="5A03C52D" w14:textId="7047863D" w:rsidR="00EE129D" w:rsidRPr="009C3AC7" w:rsidRDefault="00EE129D" w:rsidP="002C5AF7">
      <w:pPr>
        <w:ind w:firstLine="567"/>
        <w:jc w:val="both"/>
      </w:pPr>
      <w:r w:rsidRPr="009C3AC7">
        <w:lastRenderedPageBreak/>
        <w:t>Įstaigos pacientai turi galimybę bet kuriuo paros metu registruotis internetu</w:t>
      </w:r>
      <w:r w:rsidR="00012C3F" w:rsidRPr="009C3AC7">
        <w:t xml:space="preserve"> </w:t>
      </w:r>
      <w:r w:rsidRPr="009C3AC7">
        <w:t xml:space="preserve"> Polis sistemoje. </w:t>
      </w:r>
      <w:r w:rsidR="00091D67" w:rsidRPr="009C3AC7">
        <w:t xml:space="preserve">Polis </w:t>
      </w:r>
      <w:r w:rsidR="00480FC0" w:rsidRPr="009C3AC7">
        <w:t xml:space="preserve">informacinė sistema </w:t>
      </w:r>
      <w:r w:rsidR="002C5AF7" w:rsidRPr="009C3AC7">
        <w:t>funkcional</w:t>
      </w:r>
      <w:r w:rsidR="00480FC0" w:rsidRPr="009C3AC7">
        <w:t>iai</w:t>
      </w:r>
      <w:r w:rsidR="002C5AF7" w:rsidRPr="009C3AC7">
        <w:t xml:space="preserve"> optimizuo</w:t>
      </w:r>
      <w:r w:rsidR="00480FC0" w:rsidRPr="009C3AC7">
        <w:t>ja</w:t>
      </w:r>
      <w:r w:rsidR="003C77E5" w:rsidRPr="009C3AC7">
        <w:t xml:space="preserve"> </w:t>
      </w:r>
      <w:r w:rsidR="002C5AF7" w:rsidRPr="009C3AC7">
        <w:t>darb</w:t>
      </w:r>
      <w:r w:rsidR="003C77E5" w:rsidRPr="009C3AC7">
        <w:t>ą</w:t>
      </w:r>
      <w:r w:rsidR="002C5AF7" w:rsidRPr="009C3AC7">
        <w:t>, atliekama eilių valdymo stebėsena, kaupiami ir sisteminami pagal teisės aktus svarbūs duomenys, kurie reikšmingi įstaigos veiklos vykdymui, valdymui, koordinavimui ir kontrolei.</w:t>
      </w:r>
    </w:p>
    <w:p w14:paraId="5DB032C7" w14:textId="301B688D" w:rsidR="00EE129D" w:rsidRPr="009C3AC7" w:rsidRDefault="003C77E5" w:rsidP="00EE129D">
      <w:pPr>
        <w:ind w:firstLine="567"/>
        <w:jc w:val="both"/>
      </w:pPr>
      <w:r w:rsidRPr="009C3AC7">
        <w:t xml:space="preserve">Greitosios medicinos pagalbos </w:t>
      </w:r>
      <w:r w:rsidR="00EE129D" w:rsidRPr="009C3AC7">
        <w:t>iškvietimų 110/a formos</w:t>
      </w:r>
      <w:r w:rsidRPr="009C3AC7">
        <w:t xml:space="preserve"> k</w:t>
      </w:r>
      <w:r w:rsidR="00EE129D" w:rsidRPr="009C3AC7">
        <w:t>ortelių duomen</w:t>
      </w:r>
      <w:r w:rsidRPr="009C3AC7">
        <w:t>ys</w:t>
      </w:r>
      <w:r w:rsidR="00EE129D" w:rsidRPr="009C3AC7">
        <w:t xml:space="preserve"> sur</w:t>
      </w:r>
      <w:r w:rsidRPr="009C3AC7">
        <w:t xml:space="preserve">enkami, saugomi, </w:t>
      </w:r>
      <w:r w:rsidR="00EE129D" w:rsidRPr="009C3AC7">
        <w:t>apdoroj</w:t>
      </w:r>
      <w:r w:rsidRPr="009C3AC7">
        <w:t xml:space="preserve">ami elektroniniu būdu, </w:t>
      </w:r>
      <w:r w:rsidR="00EE129D" w:rsidRPr="009C3AC7">
        <w:t xml:space="preserve">greitosios medicinos pagalbos (toliau tekste – GMP) stoties teikiamų paslaugų valdymo bei stebėsenos palengvinimui. Elektroninių kortelių saugyklos programinė įranga mažina laiko sąnaudas, skiriamas administraciniams darbams, bet ir padeda tobulinti procesus užtikrinant aukštesnės kokybės paslaugas pacientams. Ši sistema atitinka Lietuvos Respublikos </w:t>
      </w:r>
      <w:r w:rsidR="00FB45A6">
        <w:t>s</w:t>
      </w:r>
      <w:r w:rsidR="00EE129D" w:rsidRPr="009C3AC7">
        <w:t>veikatos apsaugos ministro 2013</w:t>
      </w:r>
      <w:r w:rsidR="00FB45A6">
        <w:t xml:space="preserve"> m. gruodžio </w:t>
      </w:r>
      <w:r w:rsidR="00EE129D" w:rsidRPr="009C3AC7">
        <w:t>20</w:t>
      </w:r>
      <w:r w:rsidR="00FB45A6">
        <w:t xml:space="preserve"> d.</w:t>
      </w:r>
      <w:r w:rsidR="00EE129D" w:rsidRPr="009C3AC7">
        <w:t xml:space="preserve"> įsakymo Nr. V-1234 reikalavimus (Formos Nr. 110/a „Greitosios medicinos pagalbos kvietimo kortelė“ pildymo, pateikimo ir tikslinimo taisyklės).</w:t>
      </w:r>
    </w:p>
    <w:p w14:paraId="4B98D78E" w14:textId="46EC6A21" w:rsidR="00EE129D" w:rsidRPr="009C3AC7" w:rsidRDefault="00EE129D" w:rsidP="00EE129D">
      <w:pPr>
        <w:ind w:firstLine="567"/>
        <w:jc w:val="both"/>
      </w:pPr>
      <w:r w:rsidRPr="009C3AC7">
        <w:t>20</w:t>
      </w:r>
      <w:r w:rsidR="00E82FA3" w:rsidRPr="009C3AC7">
        <w:t>2</w:t>
      </w:r>
      <w:r w:rsidR="00AD0A06" w:rsidRPr="009C3AC7">
        <w:t>1</w:t>
      </w:r>
      <w:r w:rsidRPr="009C3AC7">
        <w:t xml:space="preserve"> m. tęsiamas GPS pagrindu veikiančios transporto kontrolės bei nutolusių darbuotojų valdymo sistemos „Ecofleet“ naudojimas. Programa veikia interneto naršyklėje arba išmaniajame telefone ir suteikia aiškius duomenis realiu laiku apie kuro sąnaudas, darbo valandas, transporto lokaciją, vairavimo stilių ir elgseną.</w:t>
      </w:r>
    </w:p>
    <w:p w14:paraId="5D2F44C3" w14:textId="31F7B1A1" w:rsidR="00201BC7" w:rsidRPr="009C3AC7" w:rsidRDefault="00AD0A06" w:rsidP="00201BC7">
      <w:pPr>
        <w:ind w:firstLine="567"/>
        <w:jc w:val="both"/>
        <w:rPr>
          <w:shd w:val="clear" w:color="auto" w:fill="FFFFFF"/>
        </w:rPr>
      </w:pPr>
      <w:r w:rsidRPr="009C3AC7">
        <w:rPr>
          <w:shd w:val="clear" w:color="auto" w:fill="FFFFFF"/>
        </w:rPr>
        <w:t>2021 m. Neringos PSPC yra</w:t>
      </w:r>
      <w:r w:rsidR="00CB4F90" w:rsidRPr="009C3AC7">
        <w:rPr>
          <w:shd w:val="clear" w:color="auto" w:fill="FFFFFF"/>
        </w:rPr>
        <w:t xml:space="preserve"> </w:t>
      </w:r>
      <w:r w:rsidR="009070F7" w:rsidRPr="009C3AC7">
        <w:rPr>
          <w:shd w:val="clear" w:color="auto" w:fill="FFFFFF"/>
        </w:rPr>
        <w:t>išankstinės pacientų registracijos informacinės sistemos (toliau</w:t>
      </w:r>
      <w:r w:rsidR="00F664AE" w:rsidRPr="009C3AC7">
        <w:rPr>
          <w:shd w:val="clear" w:color="auto" w:fill="FFFFFF"/>
        </w:rPr>
        <w:t xml:space="preserve"> – </w:t>
      </w:r>
      <w:r w:rsidR="009070F7" w:rsidRPr="009C3AC7">
        <w:rPr>
          <w:shd w:val="clear" w:color="auto" w:fill="FFFFFF"/>
        </w:rPr>
        <w:t>IPR</w:t>
      </w:r>
      <w:r w:rsidR="00FB45A6">
        <w:rPr>
          <w:shd w:val="clear" w:color="auto" w:fill="FFFFFF"/>
        </w:rPr>
        <w:t>  </w:t>
      </w:r>
      <w:r w:rsidR="009070F7" w:rsidRPr="009C3AC7">
        <w:rPr>
          <w:shd w:val="clear" w:color="auto" w:fill="FFFFFF"/>
        </w:rPr>
        <w:t>IS)</w:t>
      </w:r>
      <w:r w:rsidR="00C36A28" w:rsidRPr="009C3AC7">
        <w:rPr>
          <w:shd w:val="clear" w:color="auto" w:fill="FFFFFF"/>
        </w:rPr>
        <w:t xml:space="preserve"> </w:t>
      </w:r>
      <w:r w:rsidRPr="009C3AC7">
        <w:rPr>
          <w:shd w:val="clear" w:color="auto" w:fill="FFFFFF"/>
        </w:rPr>
        <w:t>dalyvis.</w:t>
      </w:r>
      <w:r w:rsidR="009070F7" w:rsidRPr="009C3AC7">
        <w:rPr>
          <w:shd w:val="clear" w:color="auto" w:fill="FFFFFF"/>
        </w:rPr>
        <w:t xml:space="preserve"> </w:t>
      </w:r>
      <w:r w:rsidR="00201BC7" w:rsidRPr="009C3AC7">
        <w:rPr>
          <w:shd w:val="clear" w:color="auto" w:fill="FFFFFF"/>
        </w:rPr>
        <w:t xml:space="preserve">IPR – tai išankstinė pacientų registracijos sistema, dalis e. sveikatos platformos, kuri leidžia automatizuoti išankstinės registracijos pas gydytoją procesus tiek pacientams, tiek specialistams, vykdyti juos skaidriai, tinkamai identifikuojant pacientą. Išankstinė registracija vykdoma nuotoliniu būdu ir tai vyksta greičiau nei kitomis veikiančiomis priemonėmis, tokiomis kaip telefonu ar atvykus į sveikatos priežiūros įstaigą. IPR sistema leidžia pacientams nuotoliniu būdu rezervuoti priėmimo laiką, gauti pranešimus ir priminimus apie numatytą apsilankymą pas gydytoją, atšaukti apsilankymą, internete stebėti visų savo planuojamų bei įvykusių apsilankymų istoriją. </w:t>
      </w:r>
    </w:p>
    <w:p w14:paraId="3D28C82B" w14:textId="45D0364A" w:rsidR="0096506C" w:rsidRPr="009C3AC7" w:rsidRDefault="0096506C" w:rsidP="0096506C">
      <w:pPr>
        <w:ind w:firstLine="709"/>
        <w:jc w:val="both"/>
        <w:rPr>
          <w:b/>
          <w:bCs/>
        </w:rPr>
      </w:pPr>
    </w:p>
    <w:p w14:paraId="6093FA34" w14:textId="59CE1D09" w:rsidR="0096506C" w:rsidRPr="00FB45A6" w:rsidRDefault="008D3C06" w:rsidP="00FB45A6">
      <w:pPr>
        <w:pStyle w:val="Sraopastraipa"/>
        <w:numPr>
          <w:ilvl w:val="0"/>
          <w:numId w:val="25"/>
        </w:numPr>
        <w:tabs>
          <w:tab w:val="left" w:pos="567"/>
        </w:tabs>
        <w:autoSpaceDE w:val="0"/>
        <w:autoSpaceDN w:val="0"/>
        <w:adjustRightInd w:val="0"/>
        <w:ind w:hanging="1080"/>
        <w:jc w:val="center"/>
        <w:rPr>
          <w:b/>
          <w:bCs/>
        </w:rPr>
      </w:pPr>
      <w:r w:rsidRPr="00FB45A6">
        <w:rPr>
          <w:b/>
          <w:bCs/>
        </w:rPr>
        <w:t>VEIKLOS RODIKLIAI</w:t>
      </w:r>
    </w:p>
    <w:p w14:paraId="27F27BE7" w14:textId="77777777" w:rsidR="00F96F7B" w:rsidRPr="009C3AC7" w:rsidRDefault="00F96F7B" w:rsidP="00F96F7B">
      <w:pPr>
        <w:autoSpaceDE w:val="0"/>
        <w:autoSpaceDN w:val="0"/>
        <w:adjustRightInd w:val="0"/>
        <w:ind w:firstLine="720"/>
        <w:jc w:val="center"/>
        <w:rPr>
          <w:b/>
          <w:bCs/>
        </w:rPr>
      </w:pPr>
    </w:p>
    <w:p w14:paraId="1C880CAF" w14:textId="27A6E68C" w:rsidR="0096506C" w:rsidRPr="009C3AC7" w:rsidRDefault="005834C6" w:rsidP="0096506C">
      <w:pPr>
        <w:pStyle w:val="Pagrindinistekstas"/>
        <w:ind w:firstLine="720"/>
      </w:pPr>
      <w:r w:rsidRPr="009C3AC7">
        <w:t>20</w:t>
      </w:r>
      <w:r w:rsidR="00E82FA3" w:rsidRPr="009C3AC7">
        <w:t>2</w:t>
      </w:r>
      <w:r w:rsidR="00AD0A06" w:rsidRPr="009C3AC7">
        <w:t>1</w:t>
      </w:r>
      <w:r w:rsidR="0096506C" w:rsidRPr="009C3AC7">
        <w:t xml:space="preserve"> m. prie Neringos PSPC prisirašiusių pacientų skaičius </w:t>
      </w:r>
      <w:r w:rsidR="00AF23D4" w:rsidRPr="009C3AC7">
        <w:t xml:space="preserve"> </w:t>
      </w:r>
      <w:r w:rsidR="0063136A" w:rsidRPr="009C3AC7">
        <w:t>lieka stabilus ir svyruoja a</w:t>
      </w:r>
      <w:r w:rsidR="0028433B" w:rsidRPr="009C3AC7">
        <w:t>pie 1900</w:t>
      </w:r>
      <w:r w:rsidR="00CF24A2" w:rsidRPr="009C3AC7">
        <w:t>–</w:t>
      </w:r>
      <w:r w:rsidR="0028433B" w:rsidRPr="009C3AC7">
        <w:t>2000 pacientų.</w:t>
      </w:r>
      <w:r w:rsidR="00821ABF" w:rsidRPr="009C3AC7">
        <w:t xml:space="preserve"> </w:t>
      </w:r>
      <w:r w:rsidR="0028433B" w:rsidRPr="009C3AC7">
        <w:t>V</w:t>
      </w:r>
      <w:r w:rsidR="0063136A" w:rsidRPr="009C3AC7">
        <w:t>asaros laikotarpiu pacientų skaičius</w:t>
      </w:r>
      <w:r w:rsidR="00DB667F" w:rsidRPr="009C3AC7">
        <w:t xml:space="preserve"> </w:t>
      </w:r>
      <w:r w:rsidR="0063136A" w:rsidRPr="009C3AC7">
        <w:t>padidėja</w:t>
      </w:r>
      <w:r w:rsidR="0028433B" w:rsidRPr="009C3AC7">
        <w:t xml:space="preserve">. </w:t>
      </w:r>
      <w:r w:rsidRPr="009C3AC7">
        <w:t>20</w:t>
      </w:r>
      <w:r w:rsidR="00E82FA3" w:rsidRPr="009C3AC7">
        <w:t>2</w:t>
      </w:r>
      <w:r w:rsidR="00AD0A06" w:rsidRPr="009C3AC7">
        <w:t>1</w:t>
      </w:r>
      <w:r w:rsidR="0063136A" w:rsidRPr="009C3AC7">
        <w:t xml:space="preserve"> m. gruodžio 31 d. duomenimis įstaigoje </w:t>
      </w:r>
      <w:r w:rsidR="00807BBA" w:rsidRPr="009C3AC7">
        <w:t xml:space="preserve">buvo </w:t>
      </w:r>
      <w:r w:rsidR="0063136A" w:rsidRPr="009C3AC7">
        <w:t>prisir</w:t>
      </w:r>
      <w:r w:rsidR="00821ABF" w:rsidRPr="009C3AC7">
        <w:t>a</w:t>
      </w:r>
      <w:r w:rsidR="0063136A" w:rsidRPr="009C3AC7">
        <w:t xml:space="preserve">šę </w:t>
      </w:r>
      <w:r w:rsidR="002236D3" w:rsidRPr="009C3AC7">
        <w:t xml:space="preserve">ir registruoti </w:t>
      </w:r>
      <w:r w:rsidR="00CF24A2" w:rsidRPr="009C3AC7">
        <w:t>„</w:t>
      </w:r>
      <w:r w:rsidR="002236D3" w:rsidRPr="009C3AC7">
        <w:t>Sveidros</w:t>
      </w:r>
      <w:r w:rsidR="00CF24A2" w:rsidRPr="009C3AC7">
        <w:t>“</w:t>
      </w:r>
      <w:r w:rsidR="002236D3" w:rsidRPr="009C3AC7">
        <w:t xml:space="preserve"> duomenų bazėje 19</w:t>
      </w:r>
      <w:r w:rsidR="00E217FC" w:rsidRPr="009C3AC7">
        <w:t>06</w:t>
      </w:r>
      <w:r w:rsidR="00361A25" w:rsidRPr="009C3AC7">
        <w:t xml:space="preserve"> pacient</w:t>
      </w:r>
      <w:r w:rsidR="00E217FC" w:rsidRPr="009C3AC7">
        <w:t>ai</w:t>
      </w:r>
      <w:r w:rsidR="00361A25" w:rsidRPr="009C3AC7">
        <w:t xml:space="preserve">, </w:t>
      </w:r>
      <w:r w:rsidR="00264EA6" w:rsidRPr="009C3AC7">
        <w:t>ne</w:t>
      </w:r>
      <w:r w:rsidR="00361A25" w:rsidRPr="009C3AC7">
        <w:t>apsidrau</w:t>
      </w:r>
      <w:r w:rsidR="00691AFA" w:rsidRPr="009C3AC7">
        <w:t>dusių</w:t>
      </w:r>
      <w:r w:rsidR="00802659">
        <w:t>jų</w:t>
      </w:r>
      <w:r w:rsidR="002236D3" w:rsidRPr="009C3AC7">
        <w:t xml:space="preserve"> privalomuoju sveikatos draudimu</w:t>
      </w:r>
      <w:r w:rsidR="00CF24A2" w:rsidRPr="009C3AC7">
        <w:t xml:space="preserve"> –</w:t>
      </w:r>
      <w:r w:rsidR="00F96910" w:rsidRPr="009C3AC7">
        <w:t xml:space="preserve"> </w:t>
      </w:r>
      <w:r w:rsidR="00E217FC" w:rsidRPr="009C3AC7">
        <w:t>92</w:t>
      </w:r>
      <w:r w:rsidRPr="009C3AC7">
        <w:t xml:space="preserve"> </w:t>
      </w:r>
      <w:r w:rsidR="0063136A" w:rsidRPr="009C3AC7">
        <w:t>pacient</w:t>
      </w:r>
      <w:r w:rsidR="00691AFA" w:rsidRPr="009C3AC7">
        <w:t>ai</w:t>
      </w:r>
      <w:r w:rsidR="0063136A" w:rsidRPr="009C3AC7">
        <w:t>.</w:t>
      </w:r>
    </w:p>
    <w:p w14:paraId="6A497DE4" w14:textId="77777777" w:rsidR="00012C3F" w:rsidRPr="009C3AC7" w:rsidRDefault="00012C3F" w:rsidP="00012C3F">
      <w:pPr>
        <w:jc w:val="center"/>
      </w:pPr>
    </w:p>
    <w:p w14:paraId="514686D3" w14:textId="2CFB1153" w:rsidR="0096506C" w:rsidRPr="009C3AC7" w:rsidRDefault="0096506C" w:rsidP="00012C3F">
      <w:pPr>
        <w:jc w:val="center"/>
        <w:rPr>
          <w:b/>
        </w:rPr>
      </w:pPr>
      <w:r w:rsidRPr="009C3AC7">
        <w:rPr>
          <w:b/>
        </w:rPr>
        <w:t>Poliklinik</w:t>
      </w:r>
      <w:r w:rsidR="00FB45A6">
        <w:rPr>
          <w:b/>
        </w:rPr>
        <w:t>os</w:t>
      </w:r>
      <w:r w:rsidRPr="009C3AC7">
        <w:rPr>
          <w:b/>
        </w:rPr>
        <w:t xml:space="preserve"> skyriaus darbo rodikliai</w:t>
      </w:r>
    </w:p>
    <w:p w14:paraId="3B991E81" w14:textId="7C341227" w:rsidR="00AF4890" w:rsidRPr="009C3AC7" w:rsidRDefault="00AF4890" w:rsidP="003A3715">
      <w:pPr>
        <w:pStyle w:val="Pagrindinistekstas"/>
        <w:ind w:firstLine="720"/>
        <w:jc w:val="center"/>
        <w:rPr>
          <w:b/>
        </w:rPr>
      </w:pPr>
    </w:p>
    <w:p w14:paraId="72B75B29" w14:textId="77777777" w:rsidR="001B489C" w:rsidRPr="009C3AC7" w:rsidRDefault="001B489C" w:rsidP="00012C3F">
      <w:pPr>
        <w:jc w:val="center"/>
        <w:rPr>
          <w:b/>
        </w:rPr>
      </w:pPr>
      <w:r w:rsidRPr="009C3AC7">
        <w:rPr>
          <w:b/>
        </w:rPr>
        <w:t>Pacientų skaičius pagal amžiaus grupes</w:t>
      </w:r>
    </w:p>
    <w:p w14:paraId="7F313B70" w14:textId="77777777" w:rsidR="001B489C" w:rsidRPr="009C3AC7" w:rsidRDefault="001B489C" w:rsidP="00012C3F">
      <w:pPr>
        <w:jc w:val="center"/>
        <w:rPr>
          <w:b/>
        </w:rPr>
      </w:pPr>
    </w:p>
    <w:tbl>
      <w:tblPr>
        <w:tblW w:w="0" w:type="auto"/>
        <w:tblInd w:w="113" w:type="dxa"/>
        <w:tblCellMar>
          <w:left w:w="10" w:type="dxa"/>
          <w:right w:w="10" w:type="dxa"/>
        </w:tblCellMar>
        <w:tblLook w:val="04A0" w:firstRow="1" w:lastRow="0" w:firstColumn="1" w:lastColumn="0" w:noHBand="0" w:noVBand="1"/>
      </w:tblPr>
      <w:tblGrid>
        <w:gridCol w:w="3143"/>
        <w:gridCol w:w="3118"/>
        <w:gridCol w:w="3260"/>
      </w:tblGrid>
      <w:tr w:rsidR="001B489C" w:rsidRPr="009C3AC7" w14:paraId="10F1C5B9" w14:textId="77777777" w:rsidTr="007D2409">
        <w:trPr>
          <w:trHeight w:val="1"/>
        </w:trPr>
        <w:tc>
          <w:tcPr>
            <w:tcW w:w="3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22828" w14:textId="77777777" w:rsidR="001B489C" w:rsidRPr="009C3AC7" w:rsidRDefault="001B489C" w:rsidP="00F96F7B">
            <w:pPr>
              <w:jc w:val="center"/>
            </w:pPr>
            <w:r w:rsidRPr="009C3AC7">
              <w:rPr>
                <w:b/>
              </w:rPr>
              <w:t>Prie įstaigos prisirašiusių asmenų amžiaus grupė</w:t>
            </w:r>
          </w:p>
        </w:tc>
        <w:tc>
          <w:tcPr>
            <w:tcW w:w="63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B52BC" w14:textId="77777777" w:rsidR="001B489C" w:rsidRPr="009C3AC7" w:rsidRDefault="001B489C" w:rsidP="00F96F7B">
            <w:pPr>
              <w:jc w:val="center"/>
            </w:pPr>
            <w:r w:rsidRPr="009C3AC7">
              <w:rPr>
                <w:b/>
              </w:rPr>
              <w:t xml:space="preserve">Pacientų skaičius metų pabaigoje </w:t>
            </w:r>
          </w:p>
        </w:tc>
      </w:tr>
      <w:tr w:rsidR="009B76DE" w:rsidRPr="009C3AC7" w14:paraId="05085FFC" w14:textId="77777777" w:rsidTr="007D2409">
        <w:trPr>
          <w:trHeight w:val="1"/>
        </w:trPr>
        <w:tc>
          <w:tcPr>
            <w:tcW w:w="3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B125D" w14:textId="77777777" w:rsidR="009B76DE" w:rsidRPr="009C3AC7" w:rsidRDefault="009B76DE" w:rsidP="009B76DE">
            <w:pPr>
              <w:spacing w:after="200" w:line="276" w:lineRule="auto"/>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C508D" w14:textId="35EE9AA6" w:rsidR="009B76DE" w:rsidRPr="009C3AC7" w:rsidRDefault="009B76DE" w:rsidP="009B76DE">
            <w:pPr>
              <w:jc w:val="center"/>
            </w:pPr>
            <w:r w:rsidRPr="009C3AC7">
              <w:rPr>
                <w:b/>
              </w:rPr>
              <w:t>20</w:t>
            </w:r>
            <w:r w:rsidR="00E217FC" w:rsidRPr="009C3AC7">
              <w:rPr>
                <w:b/>
              </w:rPr>
              <w:t>20</w:t>
            </w:r>
            <w:r w:rsidRPr="009C3AC7">
              <w:rPr>
                <w:b/>
              </w:rPr>
              <w:t xml:space="preserve"> m.</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B1819" w14:textId="76636502" w:rsidR="009B76DE" w:rsidRPr="009C3AC7" w:rsidRDefault="009B76DE" w:rsidP="009B76DE">
            <w:pPr>
              <w:jc w:val="center"/>
              <w:rPr>
                <w:b/>
                <w:bCs/>
              </w:rPr>
            </w:pPr>
            <w:r w:rsidRPr="009C3AC7">
              <w:rPr>
                <w:b/>
                <w:bCs/>
              </w:rPr>
              <w:t>202</w:t>
            </w:r>
            <w:r w:rsidR="00E217FC" w:rsidRPr="009C3AC7">
              <w:rPr>
                <w:b/>
                <w:bCs/>
              </w:rPr>
              <w:t>1</w:t>
            </w:r>
            <w:r w:rsidRPr="009C3AC7">
              <w:rPr>
                <w:b/>
                <w:bCs/>
              </w:rPr>
              <w:t xml:space="preserve"> m.</w:t>
            </w:r>
          </w:p>
        </w:tc>
      </w:tr>
      <w:tr w:rsidR="00E217FC" w:rsidRPr="009C3AC7" w14:paraId="7C766C9C" w14:textId="77777777" w:rsidTr="007D2409">
        <w:trPr>
          <w:trHeight w:val="1"/>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7056A" w14:textId="77777777" w:rsidR="00E217FC" w:rsidRPr="009C3AC7" w:rsidRDefault="00E217FC" w:rsidP="00E217FC">
            <w:pPr>
              <w:jc w:val="center"/>
            </w:pPr>
            <w:r w:rsidRPr="009C3AC7">
              <w:t>&lt; 1 m.</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77631" w14:textId="7276CCA1" w:rsidR="00E217FC" w:rsidRPr="009C3AC7" w:rsidRDefault="00E217FC" w:rsidP="00E217FC">
            <w:pPr>
              <w:jc w:val="center"/>
            </w:pPr>
            <w:r w:rsidRPr="009C3AC7">
              <w:t>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E28F7" w14:textId="41461178" w:rsidR="00E217FC" w:rsidRPr="009C3AC7" w:rsidRDefault="00E217FC" w:rsidP="00E217FC">
            <w:pPr>
              <w:jc w:val="center"/>
            </w:pPr>
            <w:r w:rsidRPr="009C3AC7">
              <w:t>13</w:t>
            </w:r>
          </w:p>
        </w:tc>
      </w:tr>
      <w:tr w:rsidR="00E217FC" w:rsidRPr="009C3AC7" w14:paraId="7A2A0D93" w14:textId="77777777" w:rsidTr="007D2409">
        <w:trPr>
          <w:trHeight w:val="1"/>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1978D" w14:textId="77777777" w:rsidR="00E217FC" w:rsidRPr="009C3AC7" w:rsidRDefault="00E217FC" w:rsidP="00E217FC">
            <w:pPr>
              <w:jc w:val="center"/>
            </w:pPr>
            <w:r w:rsidRPr="009C3AC7">
              <w:t>1–7 m.</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FF83B" w14:textId="402C9C28" w:rsidR="00E217FC" w:rsidRPr="009C3AC7" w:rsidRDefault="00E217FC" w:rsidP="00E217FC">
            <w:pPr>
              <w:jc w:val="center"/>
            </w:pPr>
            <w:r w:rsidRPr="009C3AC7">
              <w:t>77</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2BA84" w14:textId="28AE2228" w:rsidR="00E217FC" w:rsidRPr="009C3AC7" w:rsidRDefault="00E217FC" w:rsidP="00E217FC">
            <w:pPr>
              <w:jc w:val="center"/>
            </w:pPr>
            <w:r w:rsidRPr="009C3AC7">
              <w:t>78</w:t>
            </w:r>
          </w:p>
        </w:tc>
      </w:tr>
      <w:tr w:rsidR="00E217FC" w:rsidRPr="009C3AC7" w14:paraId="0A12363E" w14:textId="77777777" w:rsidTr="007D2409">
        <w:trPr>
          <w:trHeight w:val="1"/>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7C660" w14:textId="77777777" w:rsidR="00E217FC" w:rsidRPr="009C3AC7" w:rsidRDefault="00E217FC" w:rsidP="00E217FC">
            <w:pPr>
              <w:jc w:val="center"/>
            </w:pPr>
            <w:r w:rsidRPr="009C3AC7">
              <w:t>7–17 m.</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22205" w14:textId="73A61D23" w:rsidR="00E217FC" w:rsidRPr="009C3AC7" w:rsidRDefault="00E217FC" w:rsidP="00E217FC">
            <w:pPr>
              <w:jc w:val="center"/>
            </w:pPr>
            <w:r w:rsidRPr="009C3AC7">
              <w:t>135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00F27" w14:textId="1BFF188B" w:rsidR="00E217FC" w:rsidRPr="009C3AC7" w:rsidRDefault="00E217FC" w:rsidP="00E217FC">
            <w:pPr>
              <w:jc w:val="center"/>
            </w:pPr>
            <w:r w:rsidRPr="009C3AC7">
              <w:t>130</w:t>
            </w:r>
          </w:p>
        </w:tc>
      </w:tr>
      <w:tr w:rsidR="00E217FC" w:rsidRPr="009C3AC7" w14:paraId="6BCCB211" w14:textId="77777777" w:rsidTr="007D2409">
        <w:trPr>
          <w:trHeight w:val="1"/>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7B1A6" w14:textId="77777777" w:rsidR="00E217FC" w:rsidRPr="009C3AC7" w:rsidRDefault="00E217FC" w:rsidP="00E217FC">
            <w:pPr>
              <w:jc w:val="center"/>
            </w:pPr>
            <w:r w:rsidRPr="009C3AC7">
              <w:t>18–49 m.</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7384C" w14:textId="38B2415D" w:rsidR="00E217FC" w:rsidRPr="009C3AC7" w:rsidRDefault="00E217FC" w:rsidP="00E217FC">
            <w:pPr>
              <w:jc w:val="center"/>
            </w:pPr>
            <w:r w:rsidRPr="009C3AC7">
              <w:t>776</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7935A" w14:textId="2D591790" w:rsidR="00E217FC" w:rsidRPr="009C3AC7" w:rsidRDefault="00E217FC" w:rsidP="00E217FC">
            <w:pPr>
              <w:jc w:val="center"/>
            </w:pPr>
            <w:r w:rsidRPr="009C3AC7">
              <w:t>768</w:t>
            </w:r>
          </w:p>
        </w:tc>
      </w:tr>
      <w:tr w:rsidR="00E217FC" w:rsidRPr="009C3AC7" w14:paraId="4882DCFB" w14:textId="77777777" w:rsidTr="007D2409">
        <w:trPr>
          <w:trHeight w:val="1"/>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8363B" w14:textId="77777777" w:rsidR="00E217FC" w:rsidRPr="009C3AC7" w:rsidRDefault="00E217FC" w:rsidP="00E217FC">
            <w:pPr>
              <w:jc w:val="center"/>
            </w:pPr>
            <w:r w:rsidRPr="009C3AC7">
              <w:t>50–65 m</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5393E" w14:textId="0AF5764F" w:rsidR="00E217FC" w:rsidRPr="009C3AC7" w:rsidRDefault="00E217FC" w:rsidP="00E217FC">
            <w:pPr>
              <w:jc w:val="center"/>
            </w:pPr>
            <w:r w:rsidRPr="009C3AC7">
              <w:t>491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1E820" w14:textId="00670FC7" w:rsidR="00E217FC" w:rsidRPr="009C3AC7" w:rsidRDefault="00E217FC" w:rsidP="00E217FC">
            <w:pPr>
              <w:jc w:val="center"/>
            </w:pPr>
            <w:r w:rsidRPr="009C3AC7">
              <w:t>486</w:t>
            </w:r>
          </w:p>
        </w:tc>
      </w:tr>
      <w:tr w:rsidR="00E217FC" w:rsidRPr="009C3AC7" w14:paraId="60E9F8AB" w14:textId="77777777" w:rsidTr="007D2409">
        <w:trPr>
          <w:trHeight w:val="1"/>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45C5A" w14:textId="77777777" w:rsidR="00E217FC" w:rsidRPr="009C3AC7" w:rsidRDefault="00E217FC" w:rsidP="00E217FC">
            <w:pPr>
              <w:jc w:val="center"/>
            </w:pPr>
            <w:r w:rsidRPr="009C3AC7">
              <w:t>&gt; 65 m.</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7DA5D" w14:textId="74D2B232" w:rsidR="00E217FC" w:rsidRPr="009C3AC7" w:rsidRDefault="00E217FC" w:rsidP="00E217FC">
            <w:pPr>
              <w:jc w:val="center"/>
            </w:pPr>
            <w:r w:rsidRPr="009C3AC7">
              <w:t>425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0EA52" w14:textId="6927CBEE" w:rsidR="00E217FC" w:rsidRPr="009C3AC7" w:rsidRDefault="00E217FC" w:rsidP="00E217FC">
            <w:pPr>
              <w:jc w:val="center"/>
            </w:pPr>
            <w:r w:rsidRPr="009C3AC7">
              <w:t>431</w:t>
            </w:r>
          </w:p>
        </w:tc>
      </w:tr>
      <w:tr w:rsidR="00E217FC" w:rsidRPr="009C3AC7" w14:paraId="46B9052D" w14:textId="77777777" w:rsidTr="00560CC4">
        <w:trPr>
          <w:trHeight w:val="70"/>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5B0C3" w14:textId="77777777" w:rsidR="00E217FC" w:rsidRPr="009C3AC7" w:rsidRDefault="00E217FC" w:rsidP="00E217FC">
            <w:pPr>
              <w:jc w:val="center"/>
            </w:pPr>
            <w:r w:rsidRPr="009C3AC7">
              <w:rPr>
                <w:b/>
              </w:rPr>
              <w:t>VISO:</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ADDE4" w14:textId="11FB85C2" w:rsidR="00E217FC" w:rsidRPr="009C3AC7" w:rsidRDefault="00E217FC" w:rsidP="00E217FC">
            <w:pPr>
              <w:jc w:val="center"/>
            </w:pPr>
            <w:r w:rsidRPr="009C3AC7">
              <w:rPr>
                <w:b/>
                <w:bCs/>
              </w:rPr>
              <w:t>1910</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F3E63" w14:textId="360C903F" w:rsidR="00E217FC" w:rsidRPr="009C3AC7" w:rsidRDefault="00E217FC" w:rsidP="00E217FC">
            <w:pPr>
              <w:jc w:val="center"/>
              <w:rPr>
                <w:b/>
                <w:bCs/>
              </w:rPr>
            </w:pPr>
            <w:r w:rsidRPr="009C3AC7">
              <w:rPr>
                <w:b/>
                <w:bCs/>
              </w:rPr>
              <w:t>1906</w:t>
            </w:r>
          </w:p>
        </w:tc>
      </w:tr>
    </w:tbl>
    <w:p w14:paraId="43086571" w14:textId="3DA68CAA" w:rsidR="009C3AC7" w:rsidRDefault="009C3AC7" w:rsidP="001B489C">
      <w:pPr>
        <w:jc w:val="both"/>
      </w:pPr>
    </w:p>
    <w:p w14:paraId="396F31EC" w14:textId="77777777" w:rsidR="009C3AC7" w:rsidRDefault="009C3AC7">
      <w:r>
        <w:br w:type="page"/>
      </w:r>
    </w:p>
    <w:p w14:paraId="27B65D76" w14:textId="37EEDFAE" w:rsidR="001B489C" w:rsidRPr="009C3AC7" w:rsidRDefault="001B489C" w:rsidP="0061347F">
      <w:pPr>
        <w:ind w:firstLine="567"/>
        <w:jc w:val="center"/>
        <w:rPr>
          <w:b/>
        </w:rPr>
      </w:pPr>
      <w:r w:rsidRPr="009C3AC7">
        <w:rPr>
          <w:b/>
        </w:rPr>
        <w:lastRenderedPageBreak/>
        <w:t>Apsilankymai pas gydytojus</w:t>
      </w:r>
    </w:p>
    <w:p w14:paraId="1A2C3CBB" w14:textId="72AECCB7" w:rsidR="001B489C" w:rsidRPr="009C3AC7" w:rsidRDefault="001B489C" w:rsidP="001B489C">
      <w:pPr>
        <w:ind w:firstLine="567"/>
        <w:jc w:val="center"/>
      </w:pPr>
    </w:p>
    <w:tbl>
      <w:tblPr>
        <w:tblStyle w:val="Lentelstinklelis"/>
        <w:tblW w:w="0" w:type="auto"/>
        <w:tblLook w:val="04A0" w:firstRow="1" w:lastRow="0" w:firstColumn="1" w:lastColumn="0" w:noHBand="0" w:noVBand="1"/>
      </w:tblPr>
      <w:tblGrid>
        <w:gridCol w:w="3712"/>
        <w:gridCol w:w="3110"/>
        <w:gridCol w:w="3140"/>
      </w:tblGrid>
      <w:tr w:rsidR="00233443" w:rsidRPr="009C3AC7" w14:paraId="7EA4CF53" w14:textId="77777777" w:rsidTr="004279A1">
        <w:tc>
          <w:tcPr>
            <w:tcW w:w="3712" w:type="dxa"/>
          </w:tcPr>
          <w:p w14:paraId="1FE8598F" w14:textId="77777777" w:rsidR="00233443" w:rsidRPr="009C3AC7" w:rsidRDefault="00233443" w:rsidP="004279A1">
            <w:pPr>
              <w:jc w:val="center"/>
              <w:rPr>
                <w:rFonts w:ascii="Times New Roman" w:hAnsi="Times New Roman" w:cs="Times New Roman"/>
              </w:rPr>
            </w:pPr>
          </w:p>
        </w:tc>
        <w:tc>
          <w:tcPr>
            <w:tcW w:w="3110" w:type="dxa"/>
          </w:tcPr>
          <w:p w14:paraId="2FC091ED" w14:textId="35F3A47A" w:rsidR="00233443" w:rsidRPr="009C3AC7" w:rsidRDefault="00233443" w:rsidP="004279A1">
            <w:pPr>
              <w:jc w:val="center"/>
              <w:rPr>
                <w:rFonts w:ascii="Times New Roman" w:hAnsi="Times New Roman" w:cs="Times New Roman"/>
                <w:b/>
                <w:bCs/>
              </w:rPr>
            </w:pPr>
            <w:r w:rsidRPr="009C3AC7">
              <w:rPr>
                <w:rFonts w:ascii="Times New Roman" w:hAnsi="Times New Roman" w:cs="Times New Roman"/>
                <w:b/>
                <w:bCs/>
              </w:rPr>
              <w:t>20</w:t>
            </w:r>
            <w:r w:rsidR="00E217FC" w:rsidRPr="009C3AC7">
              <w:rPr>
                <w:rFonts w:ascii="Times New Roman" w:hAnsi="Times New Roman" w:cs="Times New Roman"/>
                <w:b/>
                <w:bCs/>
              </w:rPr>
              <w:t>20</w:t>
            </w:r>
            <w:r w:rsidRPr="009C3AC7">
              <w:rPr>
                <w:rFonts w:ascii="Times New Roman" w:hAnsi="Times New Roman" w:cs="Times New Roman"/>
                <w:b/>
                <w:bCs/>
              </w:rPr>
              <w:t xml:space="preserve"> metais</w:t>
            </w:r>
          </w:p>
        </w:tc>
        <w:tc>
          <w:tcPr>
            <w:tcW w:w="3140" w:type="dxa"/>
          </w:tcPr>
          <w:p w14:paraId="09AAF5CF" w14:textId="2C389B4B" w:rsidR="00233443" w:rsidRPr="009C3AC7" w:rsidRDefault="00233443" w:rsidP="004279A1">
            <w:pPr>
              <w:jc w:val="center"/>
              <w:rPr>
                <w:rFonts w:ascii="Times New Roman" w:hAnsi="Times New Roman" w:cs="Times New Roman"/>
                <w:b/>
                <w:bCs/>
              </w:rPr>
            </w:pPr>
            <w:r w:rsidRPr="009C3AC7">
              <w:rPr>
                <w:rFonts w:ascii="Times New Roman" w:hAnsi="Times New Roman" w:cs="Times New Roman"/>
                <w:b/>
                <w:bCs/>
              </w:rPr>
              <w:t>20</w:t>
            </w:r>
            <w:r w:rsidR="009B76DE" w:rsidRPr="009C3AC7">
              <w:rPr>
                <w:rFonts w:ascii="Times New Roman" w:hAnsi="Times New Roman" w:cs="Times New Roman"/>
                <w:b/>
                <w:bCs/>
              </w:rPr>
              <w:t>2</w:t>
            </w:r>
            <w:r w:rsidR="00E217FC" w:rsidRPr="009C3AC7">
              <w:rPr>
                <w:rFonts w:ascii="Times New Roman" w:hAnsi="Times New Roman" w:cs="Times New Roman"/>
                <w:b/>
                <w:bCs/>
              </w:rPr>
              <w:t>1</w:t>
            </w:r>
            <w:r w:rsidRPr="009C3AC7">
              <w:rPr>
                <w:rFonts w:ascii="Times New Roman" w:hAnsi="Times New Roman" w:cs="Times New Roman"/>
                <w:b/>
                <w:bCs/>
              </w:rPr>
              <w:t xml:space="preserve"> metais</w:t>
            </w:r>
          </w:p>
        </w:tc>
      </w:tr>
      <w:tr w:rsidR="00233443" w:rsidRPr="009C3AC7" w14:paraId="738ABE53" w14:textId="77777777" w:rsidTr="004279A1">
        <w:tc>
          <w:tcPr>
            <w:tcW w:w="3712" w:type="dxa"/>
          </w:tcPr>
          <w:p w14:paraId="13B2AE26" w14:textId="65BE9777" w:rsidR="00233443" w:rsidRPr="009C3AC7" w:rsidRDefault="00233443" w:rsidP="004279A1">
            <w:pPr>
              <w:jc w:val="center"/>
              <w:rPr>
                <w:rFonts w:ascii="Times New Roman" w:eastAsia="Times New Roman" w:hAnsi="Times New Roman" w:cs="Times New Roman"/>
              </w:rPr>
            </w:pPr>
            <w:r w:rsidRPr="009C3AC7">
              <w:rPr>
                <w:rFonts w:ascii="Times New Roman" w:eastAsia="Times New Roman" w:hAnsi="Times New Roman" w:cs="Times New Roman"/>
              </w:rPr>
              <w:t>Apsilankymai (iš viso)</w:t>
            </w:r>
          </w:p>
          <w:p w14:paraId="48CF992F" w14:textId="77777777" w:rsidR="00233443" w:rsidRPr="009C3AC7" w:rsidRDefault="00233443" w:rsidP="004279A1">
            <w:pPr>
              <w:jc w:val="center"/>
              <w:rPr>
                <w:rFonts w:ascii="Times New Roman" w:eastAsia="Times New Roman" w:hAnsi="Times New Roman" w:cs="Times New Roman"/>
              </w:rPr>
            </w:pPr>
          </w:p>
        </w:tc>
        <w:tc>
          <w:tcPr>
            <w:tcW w:w="3110" w:type="dxa"/>
          </w:tcPr>
          <w:p w14:paraId="5F346E73" w14:textId="6578D885" w:rsidR="00233443" w:rsidRPr="009C3AC7" w:rsidRDefault="00E217FC" w:rsidP="004279A1">
            <w:pPr>
              <w:jc w:val="center"/>
              <w:rPr>
                <w:rFonts w:ascii="Times New Roman" w:hAnsi="Times New Roman" w:cs="Times New Roman"/>
              </w:rPr>
            </w:pPr>
            <w:r w:rsidRPr="009C3AC7">
              <w:rPr>
                <w:rFonts w:ascii="Times New Roman" w:eastAsia="Times New Roman" w:hAnsi="Times New Roman" w:cs="Times New Roman"/>
              </w:rPr>
              <w:t>161</w:t>
            </w:r>
            <w:r w:rsidR="00572E79" w:rsidRPr="009C3AC7">
              <w:rPr>
                <w:rFonts w:ascii="Times New Roman" w:eastAsia="Times New Roman" w:hAnsi="Times New Roman" w:cs="Times New Roman"/>
              </w:rPr>
              <w:t>6</w:t>
            </w:r>
            <w:r w:rsidRPr="009C3AC7">
              <w:rPr>
                <w:rFonts w:ascii="Times New Roman" w:eastAsia="Times New Roman" w:hAnsi="Times New Roman" w:cs="Times New Roman"/>
              </w:rPr>
              <w:t>6</w:t>
            </w:r>
          </w:p>
        </w:tc>
        <w:tc>
          <w:tcPr>
            <w:tcW w:w="3140" w:type="dxa"/>
          </w:tcPr>
          <w:p w14:paraId="797E0B77" w14:textId="055353B2" w:rsidR="00233443" w:rsidRPr="009C3AC7" w:rsidRDefault="00E217FC" w:rsidP="004279A1">
            <w:pPr>
              <w:jc w:val="center"/>
              <w:rPr>
                <w:rFonts w:ascii="Times New Roman" w:eastAsia="Times New Roman" w:hAnsi="Times New Roman" w:cs="Times New Roman"/>
              </w:rPr>
            </w:pPr>
            <w:r w:rsidRPr="009C3AC7">
              <w:rPr>
                <w:rFonts w:ascii="Times New Roman" w:eastAsia="Times New Roman" w:hAnsi="Times New Roman" w:cs="Times New Roman"/>
              </w:rPr>
              <w:t>20976</w:t>
            </w:r>
          </w:p>
        </w:tc>
      </w:tr>
      <w:tr w:rsidR="00233443" w:rsidRPr="009C3AC7" w14:paraId="2358455C" w14:textId="77777777" w:rsidTr="004279A1">
        <w:tc>
          <w:tcPr>
            <w:tcW w:w="9962" w:type="dxa"/>
            <w:gridSpan w:val="3"/>
          </w:tcPr>
          <w:p w14:paraId="2CB47E26" w14:textId="77777777" w:rsidR="00233443" w:rsidRPr="009C3AC7" w:rsidRDefault="00233443" w:rsidP="004279A1">
            <w:pPr>
              <w:rPr>
                <w:rFonts w:ascii="Times New Roman" w:eastAsia="Times New Roman" w:hAnsi="Times New Roman" w:cs="Times New Roman"/>
              </w:rPr>
            </w:pPr>
            <w:r w:rsidRPr="009C3AC7">
              <w:rPr>
                <w:rFonts w:ascii="Times New Roman" w:eastAsia="Times New Roman" w:hAnsi="Times New Roman" w:cs="Times New Roman"/>
              </w:rPr>
              <w:t>Iš jų :</w:t>
            </w:r>
          </w:p>
        </w:tc>
      </w:tr>
      <w:tr w:rsidR="00E217FC" w:rsidRPr="009C3AC7" w14:paraId="445E60E4" w14:textId="77777777" w:rsidTr="004279A1">
        <w:tc>
          <w:tcPr>
            <w:tcW w:w="3712" w:type="dxa"/>
          </w:tcPr>
          <w:p w14:paraId="0C698DD3" w14:textId="666C1ABF" w:rsidR="00E217FC" w:rsidRPr="009C3AC7" w:rsidRDefault="00E217FC" w:rsidP="00E217FC">
            <w:pPr>
              <w:jc w:val="center"/>
              <w:rPr>
                <w:rFonts w:ascii="Times New Roman" w:eastAsia="Times New Roman" w:hAnsi="Times New Roman" w:cs="Times New Roman"/>
              </w:rPr>
            </w:pPr>
            <w:r w:rsidRPr="009C3AC7">
              <w:rPr>
                <w:rFonts w:ascii="Times New Roman" w:eastAsia="Times New Roman" w:hAnsi="Times New Roman" w:cs="Times New Roman"/>
              </w:rPr>
              <w:t>profilaktiškai</w:t>
            </w:r>
          </w:p>
        </w:tc>
        <w:tc>
          <w:tcPr>
            <w:tcW w:w="3110" w:type="dxa"/>
          </w:tcPr>
          <w:p w14:paraId="4872A25B" w14:textId="2944F8D8" w:rsidR="00E217FC" w:rsidRPr="009C3AC7" w:rsidRDefault="00E217FC" w:rsidP="00E217FC">
            <w:pPr>
              <w:jc w:val="center"/>
              <w:rPr>
                <w:rFonts w:ascii="Times New Roman" w:hAnsi="Times New Roman" w:cs="Times New Roman"/>
              </w:rPr>
            </w:pPr>
            <w:r w:rsidRPr="009C3AC7">
              <w:rPr>
                <w:rFonts w:ascii="Times New Roman" w:eastAsia="Times New Roman" w:hAnsi="Times New Roman" w:cs="Times New Roman"/>
              </w:rPr>
              <w:t>4248</w:t>
            </w:r>
          </w:p>
        </w:tc>
        <w:tc>
          <w:tcPr>
            <w:tcW w:w="3140" w:type="dxa"/>
          </w:tcPr>
          <w:p w14:paraId="70CB5A91" w14:textId="0586B071" w:rsidR="00E217FC" w:rsidRPr="009C3AC7" w:rsidRDefault="0047650D" w:rsidP="00E217FC">
            <w:pPr>
              <w:jc w:val="center"/>
              <w:rPr>
                <w:rFonts w:ascii="Times New Roman" w:eastAsia="Times New Roman" w:hAnsi="Times New Roman" w:cs="Times New Roman"/>
              </w:rPr>
            </w:pPr>
            <w:r w:rsidRPr="009C3AC7">
              <w:rPr>
                <w:rFonts w:ascii="Times New Roman" w:eastAsia="Times New Roman" w:hAnsi="Times New Roman" w:cs="Times New Roman"/>
              </w:rPr>
              <w:t>5736</w:t>
            </w:r>
          </w:p>
        </w:tc>
      </w:tr>
      <w:tr w:rsidR="00E217FC" w:rsidRPr="009C3AC7" w14:paraId="72A52E5E" w14:textId="77777777" w:rsidTr="004279A1">
        <w:tc>
          <w:tcPr>
            <w:tcW w:w="3712" w:type="dxa"/>
          </w:tcPr>
          <w:p w14:paraId="73B7DA2D" w14:textId="1B3B8B2E" w:rsidR="00E217FC" w:rsidRPr="009C3AC7" w:rsidRDefault="00E217FC" w:rsidP="00E217FC">
            <w:pPr>
              <w:jc w:val="center"/>
              <w:rPr>
                <w:rFonts w:ascii="Times New Roman" w:eastAsia="Times New Roman" w:hAnsi="Times New Roman" w:cs="Times New Roman"/>
              </w:rPr>
            </w:pPr>
            <w:r w:rsidRPr="009C3AC7">
              <w:rPr>
                <w:rFonts w:ascii="Times New Roman" w:eastAsia="Times New Roman" w:hAnsi="Times New Roman" w:cs="Times New Roman"/>
              </w:rPr>
              <w:t>dėl ligos</w:t>
            </w:r>
          </w:p>
        </w:tc>
        <w:tc>
          <w:tcPr>
            <w:tcW w:w="3110" w:type="dxa"/>
          </w:tcPr>
          <w:p w14:paraId="6F39D7E5" w14:textId="0A59E0C8" w:rsidR="00E217FC" w:rsidRPr="009C3AC7" w:rsidRDefault="00E217FC" w:rsidP="00E217FC">
            <w:pPr>
              <w:jc w:val="center"/>
              <w:rPr>
                <w:rFonts w:ascii="Times New Roman" w:hAnsi="Times New Roman" w:cs="Times New Roman"/>
              </w:rPr>
            </w:pPr>
            <w:r w:rsidRPr="009C3AC7">
              <w:rPr>
                <w:rFonts w:ascii="Times New Roman" w:eastAsia="Times New Roman" w:hAnsi="Times New Roman" w:cs="Times New Roman"/>
              </w:rPr>
              <w:t>11535</w:t>
            </w:r>
          </w:p>
        </w:tc>
        <w:tc>
          <w:tcPr>
            <w:tcW w:w="3140" w:type="dxa"/>
          </w:tcPr>
          <w:p w14:paraId="191C6D98" w14:textId="412EF209" w:rsidR="00E217FC" w:rsidRPr="009C3AC7" w:rsidRDefault="0047650D" w:rsidP="00E217FC">
            <w:pPr>
              <w:jc w:val="center"/>
              <w:rPr>
                <w:rFonts w:ascii="Times New Roman" w:eastAsia="Times New Roman" w:hAnsi="Times New Roman" w:cs="Times New Roman"/>
              </w:rPr>
            </w:pPr>
            <w:r w:rsidRPr="009C3AC7">
              <w:rPr>
                <w:rFonts w:ascii="Times New Roman" w:eastAsia="Times New Roman" w:hAnsi="Times New Roman" w:cs="Times New Roman"/>
              </w:rPr>
              <w:t>15024</w:t>
            </w:r>
          </w:p>
        </w:tc>
      </w:tr>
      <w:tr w:rsidR="00E217FC" w:rsidRPr="009C3AC7" w14:paraId="377E542A" w14:textId="77777777" w:rsidTr="004279A1">
        <w:tc>
          <w:tcPr>
            <w:tcW w:w="3712" w:type="dxa"/>
          </w:tcPr>
          <w:p w14:paraId="45F0B74C" w14:textId="2D5232FE" w:rsidR="00E217FC" w:rsidRPr="009C3AC7" w:rsidRDefault="00E217FC" w:rsidP="00E217FC">
            <w:pPr>
              <w:jc w:val="center"/>
              <w:rPr>
                <w:rFonts w:ascii="Times New Roman" w:eastAsia="Times New Roman" w:hAnsi="Times New Roman" w:cs="Times New Roman"/>
              </w:rPr>
            </w:pPr>
            <w:r w:rsidRPr="009C3AC7">
              <w:rPr>
                <w:rFonts w:ascii="Times New Roman" w:eastAsia="Times New Roman" w:hAnsi="Times New Roman" w:cs="Times New Roman"/>
              </w:rPr>
              <w:t>namuose</w:t>
            </w:r>
          </w:p>
        </w:tc>
        <w:tc>
          <w:tcPr>
            <w:tcW w:w="3110" w:type="dxa"/>
          </w:tcPr>
          <w:p w14:paraId="3EB4AEDC" w14:textId="69E027F6" w:rsidR="00E217FC" w:rsidRPr="009C3AC7" w:rsidRDefault="00E217FC" w:rsidP="00E217FC">
            <w:pPr>
              <w:jc w:val="center"/>
              <w:rPr>
                <w:rFonts w:ascii="Times New Roman" w:hAnsi="Times New Roman" w:cs="Times New Roman"/>
              </w:rPr>
            </w:pPr>
            <w:r w:rsidRPr="009C3AC7">
              <w:rPr>
                <w:rFonts w:ascii="Times New Roman" w:eastAsia="Times New Roman" w:hAnsi="Times New Roman" w:cs="Times New Roman"/>
              </w:rPr>
              <w:t>383</w:t>
            </w:r>
          </w:p>
        </w:tc>
        <w:tc>
          <w:tcPr>
            <w:tcW w:w="3140" w:type="dxa"/>
          </w:tcPr>
          <w:p w14:paraId="34A4F601" w14:textId="1BB3129E" w:rsidR="00E217FC" w:rsidRPr="009C3AC7" w:rsidRDefault="0047650D" w:rsidP="00E217FC">
            <w:pPr>
              <w:jc w:val="center"/>
              <w:rPr>
                <w:rFonts w:ascii="Times New Roman" w:eastAsia="Times New Roman" w:hAnsi="Times New Roman" w:cs="Times New Roman"/>
              </w:rPr>
            </w:pPr>
            <w:r w:rsidRPr="009C3AC7">
              <w:rPr>
                <w:rFonts w:ascii="Times New Roman" w:eastAsia="Times New Roman" w:hAnsi="Times New Roman" w:cs="Times New Roman"/>
              </w:rPr>
              <w:t>216</w:t>
            </w:r>
          </w:p>
        </w:tc>
      </w:tr>
    </w:tbl>
    <w:p w14:paraId="562AE997" w14:textId="293171C1" w:rsidR="007D2409" w:rsidRPr="009C3AC7" w:rsidRDefault="007D2409" w:rsidP="003A26B7"/>
    <w:p w14:paraId="324431B7" w14:textId="0D81AD30" w:rsidR="001B489C" w:rsidRPr="009C3AC7" w:rsidRDefault="001B489C" w:rsidP="005C03F1">
      <w:pPr>
        <w:jc w:val="center"/>
        <w:rPr>
          <w:b/>
        </w:rPr>
      </w:pPr>
      <w:r w:rsidRPr="009C3AC7">
        <w:rPr>
          <w:b/>
        </w:rPr>
        <w:t>Apsilankymų</w:t>
      </w:r>
      <w:r w:rsidR="0043362C" w:rsidRPr="009C3AC7">
        <w:rPr>
          <w:b/>
        </w:rPr>
        <w:t xml:space="preserve"> struktūra</w:t>
      </w:r>
    </w:p>
    <w:p w14:paraId="72E35326" w14:textId="1D4C022D" w:rsidR="007D2409" w:rsidRPr="009C3AC7" w:rsidRDefault="007D2409" w:rsidP="003A26B7"/>
    <w:tbl>
      <w:tblPr>
        <w:tblStyle w:val="Lentelstinklelis"/>
        <w:tblW w:w="0" w:type="auto"/>
        <w:tblLook w:val="04A0" w:firstRow="1" w:lastRow="0" w:firstColumn="1" w:lastColumn="0" w:noHBand="0" w:noVBand="1"/>
      </w:tblPr>
      <w:tblGrid>
        <w:gridCol w:w="3703"/>
        <w:gridCol w:w="3131"/>
        <w:gridCol w:w="3128"/>
      </w:tblGrid>
      <w:tr w:rsidR="004C3668" w:rsidRPr="009C3AC7" w14:paraId="00254601" w14:textId="0A4FD196" w:rsidTr="004C3668">
        <w:tc>
          <w:tcPr>
            <w:tcW w:w="3703" w:type="dxa"/>
          </w:tcPr>
          <w:p w14:paraId="7D792986" w14:textId="77777777" w:rsidR="004C3668" w:rsidRPr="009C3AC7" w:rsidRDefault="004C3668" w:rsidP="0043362C">
            <w:pPr>
              <w:jc w:val="center"/>
              <w:rPr>
                <w:rFonts w:ascii="Times New Roman" w:hAnsi="Times New Roman" w:cs="Times New Roman"/>
              </w:rPr>
            </w:pPr>
          </w:p>
        </w:tc>
        <w:tc>
          <w:tcPr>
            <w:tcW w:w="3131" w:type="dxa"/>
          </w:tcPr>
          <w:p w14:paraId="6D12AA89" w14:textId="5099069E" w:rsidR="004C3668" w:rsidRPr="009C3AC7" w:rsidRDefault="004C3668" w:rsidP="0043362C">
            <w:pPr>
              <w:jc w:val="center"/>
              <w:rPr>
                <w:rFonts w:ascii="Times New Roman" w:hAnsi="Times New Roman" w:cs="Times New Roman"/>
                <w:b/>
                <w:bCs/>
                <w:color w:val="FF0000"/>
              </w:rPr>
            </w:pPr>
            <w:r w:rsidRPr="009C3AC7">
              <w:rPr>
                <w:rFonts w:ascii="Times New Roman" w:hAnsi="Times New Roman" w:cs="Times New Roman"/>
                <w:b/>
                <w:bCs/>
              </w:rPr>
              <w:t>2020 metais</w:t>
            </w:r>
          </w:p>
        </w:tc>
        <w:tc>
          <w:tcPr>
            <w:tcW w:w="3128" w:type="dxa"/>
          </w:tcPr>
          <w:p w14:paraId="33280E28" w14:textId="760935FF" w:rsidR="004C3668" w:rsidRPr="009C3AC7" w:rsidRDefault="004C3668" w:rsidP="0043362C">
            <w:pPr>
              <w:jc w:val="center"/>
              <w:rPr>
                <w:rFonts w:ascii="Times New Roman" w:hAnsi="Times New Roman" w:cs="Times New Roman"/>
                <w:b/>
                <w:bCs/>
              </w:rPr>
            </w:pPr>
            <w:r w:rsidRPr="009C3AC7">
              <w:rPr>
                <w:rFonts w:ascii="Times New Roman" w:hAnsi="Times New Roman" w:cs="Times New Roman"/>
                <w:b/>
                <w:bCs/>
              </w:rPr>
              <w:t>2021 metais</w:t>
            </w:r>
          </w:p>
        </w:tc>
      </w:tr>
      <w:tr w:rsidR="004C3668" w:rsidRPr="009C3AC7" w14:paraId="6F36AF22" w14:textId="22B3E3E2" w:rsidTr="004C3668">
        <w:tc>
          <w:tcPr>
            <w:tcW w:w="3703" w:type="dxa"/>
          </w:tcPr>
          <w:p w14:paraId="490D5BDE" w14:textId="77777777" w:rsidR="004C3668" w:rsidRPr="009C3AC7" w:rsidRDefault="004C3668" w:rsidP="0068415C">
            <w:pPr>
              <w:jc w:val="center"/>
              <w:rPr>
                <w:rFonts w:ascii="Times New Roman" w:eastAsia="Times New Roman" w:hAnsi="Times New Roman" w:cs="Times New Roman"/>
              </w:rPr>
            </w:pPr>
            <w:r w:rsidRPr="009C3AC7">
              <w:rPr>
                <w:rFonts w:ascii="Times New Roman" w:eastAsia="Times New Roman" w:hAnsi="Times New Roman" w:cs="Times New Roman"/>
              </w:rPr>
              <w:t>Pas gydytoją odontologą</w:t>
            </w:r>
          </w:p>
        </w:tc>
        <w:tc>
          <w:tcPr>
            <w:tcW w:w="3131" w:type="dxa"/>
          </w:tcPr>
          <w:p w14:paraId="208A283F" w14:textId="03C08E3B" w:rsidR="004C3668" w:rsidRPr="009C3AC7" w:rsidRDefault="004C3668" w:rsidP="0068415C">
            <w:pPr>
              <w:jc w:val="center"/>
              <w:rPr>
                <w:rFonts w:ascii="Times New Roman" w:eastAsia="Times New Roman" w:hAnsi="Times New Roman" w:cs="Times New Roman"/>
              </w:rPr>
            </w:pPr>
            <w:r w:rsidRPr="009C3AC7">
              <w:rPr>
                <w:rFonts w:ascii="Times New Roman" w:eastAsia="Times New Roman" w:hAnsi="Times New Roman" w:cs="Times New Roman"/>
              </w:rPr>
              <w:t>930</w:t>
            </w:r>
          </w:p>
        </w:tc>
        <w:tc>
          <w:tcPr>
            <w:tcW w:w="3128" w:type="dxa"/>
          </w:tcPr>
          <w:p w14:paraId="6A3A1649" w14:textId="6951609F" w:rsidR="004C3668" w:rsidRPr="009C3AC7" w:rsidRDefault="004C3668" w:rsidP="0068415C">
            <w:pPr>
              <w:jc w:val="center"/>
              <w:rPr>
                <w:rFonts w:ascii="Times New Roman" w:hAnsi="Times New Roman" w:cs="Times New Roman"/>
              </w:rPr>
            </w:pPr>
            <w:r w:rsidRPr="009C3AC7">
              <w:rPr>
                <w:rFonts w:ascii="Times New Roman" w:hAnsi="Times New Roman" w:cs="Times New Roman"/>
              </w:rPr>
              <w:t>1302</w:t>
            </w:r>
          </w:p>
        </w:tc>
      </w:tr>
      <w:tr w:rsidR="004C3668" w:rsidRPr="009C3AC7" w14:paraId="1F98B8CB" w14:textId="5175EFC5" w:rsidTr="004C3668">
        <w:tc>
          <w:tcPr>
            <w:tcW w:w="3703" w:type="dxa"/>
          </w:tcPr>
          <w:p w14:paraId="1FE998AD" w14:textId="27F14FF7" w:rsidR="004C3668" w:rsidRPr="009C3AC7" w:rsidRDefault="004C3668" w:rsidP="0068415C">
            <w:pPr>
              <w:jc w:val="center"/>
              <w:rPr>
                <w:rFonts w:ascii="Times New Roman" w:eastAsia="Times New Roman" w:hAnsi="Times New Roman" w:cs="Times New Roman"/>
              </w:rPr>
            </w:pPr>
            <w:r w:rsidRPr="009C3AC7">
              <w:rPr>
                <w:rFonts w:ascii="Times New Roman" w:eastAsia="Times New Roman" w:hAnsi="Times New Roman" w:cs="Times New Roman"/>
              </w:rPr>
              <w:t>Pas šeimos gydytojus (Nida)</w:t>
            </w:r>
          </w:p>
        </w:tc>
        <w:tc>
          <w:tcPr>
            <w:tcW w:w="3131" w:type="dxa"/>
          </w:tcPr>
          <w:p w14:paraId="5F92D8EC" w14:textId="58CE4381" w:rsidR="004C3668" w:rsidRPr="009C3AC7" w:rsidRDefault="004C3668" w:rsidP="0068415C">
            <w:pPr>
              <w:jc w:val="center"/>
              <w:rPr>
                <w:rFonts w:ascii="Times New Roman" w:eastAsia="Times New Roman" w:hAnsi="Times New Roman" w:cs="Times New Roman"/>
              </w:rPr>
            </w:pPr>
            <w:r w:rsidRPr="009C3AC7">
              <w:rPr>
                <w:rFonts w:ascii="Times New Roman" w:eastAsia="Times New Roman" w:hAnsi="Times New Roman" w:cs="Times New Roman"/>
              </w:rPr>
              <w:t>10487</w:t>
            </w:r>
          </w:p>
        </w:tc>
        <w:tc>
          <w:tcPr>
            <w:tcW w:w="3128" w:type="dxa"/>
          </w:tcPr>
          <w:p w14:paraId="347C3F12" w14:textId="517B6743" w:rsidR="004C3668" w:rsidRPr="009C3AC7" w:rsidRDefault="004C3668" w:rsidP="0068415C">
            <w:pPr>
              <w:jc w:val="center"/>
              <w:rPr>
                <w:rFonts w:ascii="Times New Roman" w:hAnsi="Times New Roman" w:cs="Times New Roman"/>
              </w:rPr>
            </w:pPr>
            <w:r w:rsidRPr="009C3AC7">
              <w:rPr>
                <w:rFonts w:ascii="Times New Roman" w:hAnsi="Times New Roman" w:cs="Times New Roman"/>
              </w:rPr>
              <w:t>12</w:t>
            </w:r>
            <w:r w:rsidR="00CC6587" w:rsidRPr="009C3AC7">
              <w:rPr>
                <w:rFonts w:ascii="Times New Roman" w:hAnsi="Times New Roman" w:cs="Times New Roman"/>
              </w:rPr>
              <w:t>961</w:t>
            </w:r>
          </w:p>
        </w:tc>
      </w:tr>
      <w:tr w:rsidR="004C3668" w:rsidRPr="009C3AC7" w14:paraId="6D270A69" w14:textId="1D8C5B99" w:rsidTr="004C3668">
        <w:tc>
          <w:tcPr>
            <w:tcW w:w="3703" w:type="dxa"/>
          </w:tcPr>
          <w:p w14:paraId="40F5FC2B" w14:textId="18B2804C" w:rsidR="004C3668" w:rsidRPr="009C3AC7" w:rsidRDefault="004C3668" w:rsidP="0068415C">
            <w:pPr>
              <w:jc w:val="center"/>
              <w:rPr>
                <w:rFonts w:ascii="Times New Roman" w:eastAsia="Times New Roman" w:hAnsi="Times New Roman" w:cs="Times New Roman"/>
              </w:rPr>
            </w:pPr>
            <w:r w:rsidRPr="009C3AC7">
              <w:rPr>
                <w:rFonts w:ascii="Times New Roman" w:eastAsia="Times New Roman" w:hAnsi="Times New Roman" w:cs="Times New Roman"/>
              </w:rPr>
              <w:t>Pas šeimos gydytojus (Juodkrantė)</w:t>
            </w:r>
          </w:p>
        </w:tc>
        <w:tc>
          <w:tcPr>
            <w:tcW w:w="3131" w:type="dxa"/>
          </w:tcPr>
          <w:p w14:paraId="37D7CED8" w14:textId="102CDA0C" w:rsidR="004C3668" w:rsidRPr="009C3AC7" w:rsidRDefault="004C3668" w:rsidP="0068415C">
            <w:pPr>
              <w:jc w:val="center"/>
              <w:rPr>
                <w:rFonts w:ascii="Times New Roman" w:eastAsia="Times New Roman" w:hAnsi="Times New Roman" w:cs="Times New Roman"/>
              </w:rPr>
            </w:pPr>
            <w:r w:rsidRPr="009C3AC7">
              <w:rPr>
                <w:rFonts w:ascii="Times New Roman" w:eastAsia="Times New Roman" w:hAnsi="Times New Roman" w:cs="Times New Roman"/>
              </w:rPr>
              <w:t>4580</w:t>
            </w:r>
          </w:p>
        </w:tc>
        <w:tc>
          <w:tcPr>
            <w:tcW w:w="3128" w:type="dxa"/>
          </w:tcPr>
          <w:p w14:paraId="2CA2D00E" w14:textId="07D62CB8" w:rsidR="004C3668" w:rsidRPr="009C3AC7" w:rsidRDefault="00CC6587" w:rsidP="0068415C">
            <w:pPr>
              <w:jc w:val="center"/>
              <w:rPr>
                <w:rFonts w:ascii="Times New Roman" w:hAnsi="Times New Roman" w:cs="Times New Roman"/>
              </w:rPr>
            </w:pPr>
            <w:r w:rsidRPr="009C3AC7">
              <w:rPr>
                <w:rFonts w:ascii="Times New Roman" w:hAnsi="Times New Roman" w:cs="Times New Roman"/>
              </w:rPr>
              <w:t>6713</w:t>
            </w:r>
          </w:p>
        </w:tc>
      </w:tr>
    </w:tbl>
    <w:p w14:paraId="5139DAC9" w14:textId="6AEFC08E" w:rsidR="001B489C" w:rsidRPr="009C3AC7" w:rsidRDefault="001B489C" w:rsidP="001B489C"/>
    <w:p w14:paraId="338B416A" w14:textId="65071CAC" w:rsidR="001B489C" w:rsidRPr="009C3AC7" w:rsidRDefault="001B489C" w:rsidP="00A4592B">
      <w:pPr>
        <w:jc w:val="center"/>
        <w:rPr>
          <w:b/>
        </w:rPr>
      </w:pPr>
      <w:r w:rsidRPr="009C3AC7">
        <w:rPr>
          <w:b/>
        </w:rPr>
        <w:t>Laboratorija</w:t>
      </w:r>
    </w:p>
    <w:p w14:paraId="005944AC" w14:textId="77777777" w:rsidR="001B489C" w:rsidRPr="009C3AC7" w:rsidRDefault="001B489C" w:rsidP="001B489C">
      <w:pPr>
        <w:ind w:firstLine="567"/>
        <w:jc w:val="center"/>
        <w:rPr>
          <w:b/>
        </w:rPr>
      </w:pPr>
    </w:p>
    <w:tbl>
      <w:tblPr>
        <w:tblStyle w:val="Lentelstinklelis"/>
        <w:tblW w:w="9917" w:type="dxa"/>
        <w:tblLook w:val="04A0" w:firstRow="1" w:lastRow="0" w:firstColumn="1" w:lastColumn="0" w:noHBand="0" w:noVBand="1"/>
      </w:tblPr>
      <w:tblGrid>
        <w:gridCol w:w="3681"/>
        <w:gridCol w:w="3118"/>
        <w:gridCol w:w="3118"/>
      </w:tblGrid>
      <w:tr w:rsidR="00A4592B" w:rsidRPr="009C3AC7" w14:paraId="02547ED3" w14:textId="369C1B0F" w:rsidTr="00A4592B">
        <w:tc>
          <w:tcPr>
            <w:tcW w:w="3681" w:type="dxa"/>
          </w:tcPr>
          <w:p w14:paraId="7CC577F8" w14:textId="77777777" w:rsidR="00A4592B" w:rsidRPr="009C3AC7" w:rsidRDefault="00A4592B" w:rsidP="009B76DE">
            <w:pPr>
              <w:jc w:val="center"/>
              <w:rPr>
                <w:rFonts w:ascii="Times New Roman" w:hAnsi="Times New Roman" w:cs="Times New Roman"/>
              </w:rPr>
            </w:pPr>
          </w:p>
        </w:tc>
        <w:tc>
          <w:tcPr>
            <w:tcW w:w="3118" w:type="dxa"/>
          </w:tcPr>
          <w:p w14:paraId="3E985EDA" w14:textId="66185DBC" w:rsidR="00A4592B" w:rsidRPr="009C3AC7" w:rsidRDefault="00A4592B" w:rsidP="009B76DE">
            <w:pPr>
              <w:jc w:val="center"/>
              <w:rPr>
                <w:rFonts w:ascii="Times New Roman" w:hAnsi="Times New Roman" w:cs="Times New Roman"/>
                <w:b/>
                <w:bCs/>
              </w:rPr>
            </w:pPr>
            <w:r w:rsidRPr="009C3AC7">
              <w:rPr>
                <w:rFonts w:ascii="Times New Roman" w:hAnsi="Times New Roman" w:cs="Times New Roman"/>
                <w:b/>
                <w:bCs/>
              </w:rPr>
              <w:t>2020 metais</w:t>
            </w:r>
          </w:p>
        </w:tc>
        <w:tc>
          <w:tcPr>
            <w:tcW w:w="3118" w:type="dxa"/>
          </w:tcPr>
          <w:p w14:paraId="1DC6E153" w14:textId="76E19178" w:rsidR="00A4592B" w:rsidRPr="009C3AC7" w:rsidRDefault="00A4592B" w:rsidP="009B76DE">
            <w:pPr>
              <w:jc w:val="center"/>
              <w:rPr>
                <w:rFonts w:ascii="Times New Roman" w:hAnsi="Times New Roman" w:cs="Times New Roman"/>
                <w:b/>
                <w:bCs/>
              </w:rPr>
            </w:pPr>
            <w:r w:rsidRPr="009C3AC7">
              <w:rPr>
                <w:rFonts w:ascii="Times New Roman" w:hAnsi="Times New Roman" w:cs="Times New Roman"/>
                <w:b/>
                <w:bCs/>
              </w:rPr>
              <w:t>2021 metais</w:t>
            </w:r>
          </w:p>
        </w:tc>
      </w:tr>
      <w:tr w:rsidR="00A4592B" w:rsidRPr="009C3AC7" w14:paraId="689BA48E" w14:textId="71BEDC94" w:rsidTr="00A4592B">
        <w:tc>
          <w:tcPr>
            <w:tcW w:w="3681" w:type="dxa"/>
          </w:tcPr>
          <w:p w14:paraId="156F3EEF" w14:textId="6EA94E49" w:rsidR="00A4592B" w:rsidRPr="009C3AC7" w:rsidRDefault="00A4592B" w:rsidP="009B76DE">
            <w:pPr>
              <w:jc w:val="center"/>
              <w:rPr>
                <w:rFonts w:ascii="Times New Roman" w:eastAsia="Times New Roman" w:hAnsi="Times New Roman" w:cs="Times New Roman"/>
              </w:rPr>
            </w:pPr>
            <w:r w:rsidRPr="009C3AC7">
              <w:rPr>
                <w:rFonts w:ascii="Times New Roman" w:eastAsia="Times New Roman" w:hAnsi="Times New Roman" w:cs="Times New Roman"/>
              </w:rPr>
              <w:t>Hematologiniai tyrimai</w:t>
            </w:r>
          </w:p>
        </w:tc>
        <w:tc>
          <w:tcPr>
            <w:tcW w:w="3118" w:type="dxa"/>
            <w:vMerge w:val="restart"/>
          </w:tcPr>
          <w:p w14:paraId="4102C6D5" w14:textId="77777777" w:rsidR="00A4592B" w:rsidRPr="009C3AC7" w:rsidRDefault="00A4592B" w:rsidP="009B76DE">
            <w:pPr>
              <w:jc w:val="center"/>
              <w:rPr>
                <w:rFonts w:ascii="Times New Roman" w:eastAsia="Times New Roman" w:hAnsi="Times New Roman" w:cs="Times New Roman"/>
              </w:rPr>
            </w:pPr>
          </w:p>
          <w:p w14:paraId="72CD3B7A" w14:textId="5C6F9DBA" w:rsidR="00A4592B" w:rsidRPr="009C3AC7" w:rsidRDefault="00A4592B" w:rsidP="009B76DE">
            <w:pPr>
              <w:jc w:val="center"/>
              <w:rPr>
                <w:rFonts w:ascii="Times New Roman" w:hAnsi="Times New Roman" w:cs="Times New Roman"/>
              </w:rPr>
            </w:pPr>
            <w:r w:rsidRPr="009C3AC7">
              <w:rPr>
                <w:rFonts w:ascii="Times New Roman" w:eastAsia="Times New Roman" w:hAnsi="Times New Roman" w:cs="Times New Roman"/>
              </w:rPr>
              <w:t>2410</w:t>
            </w:r>
          </w:p>
        </w:tc>
        <w:tc>
          <w:tcPr>
            <w:tcW w:w="3118" w:type="dxa"/>
            <w:vMerge w:val="restart"/>
          </w:tcPr>
          <w:p w14:paraId="3BBD34C0" w14:textId="77777777" w:rsidR="00A4592B" w:rsidRPr="009C3AC7" w:rsidRDefault="00A4592B" w:rsidP="009B76DE">
            <w:pPr>
              <w:jc w:val="center"/>
              <w:rPr>
                <w:rFonts w:ascii="Times New Roman" w:hAnsi="Times New Roman" w:cs="Times New Roman"/>
              </w:rPr>
            </w:pPr>
          </w:p>
          <w:p w14:paraId="42211925" w14:textId="7F460F43" w:rsidR="00A4592B" w:rsidRPr="009C3AC7" w:rsidRDefault="00A4592B" w:rsidP="009B76DE">
            <w:pPr>
              <w:jc w:val="center"/>
              <w:rPr>
                <w:rFonts w:ascii="Times New Roman" w:hAnsi="Times New Roman" w:cs="Times New Roman"/>
              </w:rPr>
            </w:pPr>
            <w:r w:rsidRPr="009C3AC7">
              <w:rPr>
                <w:rFonts w:ascii="Times New Roman" w:hAnsi="Times New Roman" w:cs="Times New Roman"/>
              </w:rPr>
              <w:t>2891</w:t>
            </w:r>
          </w:p>
        </w:tc>
      </w:tr>
      <w:tr w:rsidR="00A4592B" w:rsidRPr="009C3AC7" w14:paraId="3EAF1D91" w14:textId="0ACE7231" w:rsidTr="00A4592B">
        <w:trPr>
          <w:trHeight w:val="70"/>
        </w:trPr>
        <w:tc>
          <w:tcPr>
            <w:tcW w:w="3681" w:type="dxa"/>
          </w:tcPr>
          <w:p w14:paraId="3180BE37" w14:textId="248BE816" w:rsidR="00A4592B" w:rsidRPr="009C3AC7" w:rsidRDefault="00A4592B" w:rsidP="009B76DE">
            <w:pPr>
              <w:jc w:val="center"/>
              <w:rPr>
                <w:rFonts w:ascii="Times New Roman" w:eastAsia="Times New Roman" w:hAnsi="Times New Roman" w:cs="Times New Roman"/>
              </w:rPr>
            </w:pPr>
            <w:r w:rsidRPr="009C3AC7">
              <w:rPr>
                <w:rFonts w:ascii="Times New Roman" w:eastAsia="Times New Roman" w:hAnsi="Times New Roman" w:cs="Times New Roman"/>
              </w:rPr>
              <w:t>Biocheminiai  tyrimai (cholesterolis, lipidograma, gliukozė)</w:t>
            </w:r>
          </w:p>
        </w:tc>
        <w:tc>
          <w:tcPr>
            <w:tcW w:w="3118" w:type="dxa"/>
            <w:vMerge/>
          </w:tcPr>
          <w:p w14:paraId="463F68AB" w14:textId="2A9D37AE" w:rsidR="00A4592B" w:rsidRPr="009C3AC7" w:rsidRDefault="00A4592B" w:rsidP="009B76DE">
            <w:pPr>
              <w:jc w:val="center"/>
              <w:rPr>
                <w:rFonts w:ascii="Times New Roman" w:hAnsi="Times New Roman" w:cs="Times New Roman"/>
              </w:rPr>
            </w:pPr>
          </w:p>
        </w:tc>
        <w:tc>
          <w:tcPr>
            <w:tcW w:w="3118" w:type="dxa"/>
            <w:vMerge/>
          </w:tcPr>
          <w:p w14:paraId="2CFF7BCC" w14:textId="77777777" w:rsidR="00A4592B" w:rsidRPr="009C3AC7" w:rsidRDefault="00A4592B" w:rsidP="009B76DE">
            <w:pPr>
              <w:jc w:val="center"/>
              <w:rPr>
                <w:rFonts w:ascii="Times New Roman" w:hAnsi="Times New Roman" w:cs="Times New Roman"/>
              </w:rPr>
            </w:pPr>
          </w:p>
        </w:tc>
      </w:tr>
      <w:tr w:rsidR="00A4592B" w:rsidRPr="009C3AC7" w14:paraId="3CDF50AD" w14:textId="603D0B36" w:rsidTr="00A4592B">
        <w:trPr>
          <w:trHeight w:val="70"/>
        </w:trPr>
        <w:tc>
          <w:tcPr>
            <w:tcW w:w="3681" w:type="dxa"/>
          </w:tcPr>
          <w:p w14:paraId="0B4C4138" w14:textId="5A1FD9A7" w:rsidR="00A4592B" w:rsidRPr="009C3AC7" w:rsidRDefault="00A4592B" w:rsidP="009B76DE">
            <w:pPr>
              <w:jc w:val="center"/>
              <w:rPr>
                <w:rFonts w:ascii="Times New Roman" w:hAnsi="Times New Roman" w:cs="Times New Roman"/>
              </w:rPr>
            </w:pPr>
            <w:r w:rsidRPr="009C3AC7">
              <w:rPr>
                <w:rFonts w:ascii="Times New Roman" w:hAnsi="Times New Roman" w:cs="Times New Roman"/>
              </w:rPr>
              <w:t>Kraujo krešėjimo tyrimai</w:t>
            </w:r>
          </w:p>
        </w:tc>
        <w:tc>
          <w:tcPr>
            <w:tcW w:w="3118" w:type="dxa"/>
          </w:tcPr>
          <w:p w14:paraId="3EC35FC1" w14:textId="34A9BF95" w:rsidR="00A4592B" w:rsidRPr="009C3AC7" w:rsidRDefault="00A4592B" w:rsidP="009B76DE">
            <w:pPr>
              <w:jc w:val="center"/>
              <w:rPr>
                <w:rFonts w:ascii="Times New Roman" w:hAnsi="Times New Roman" w:cs="Times New Roman"/>
                <w:color w:val="FFC000" w:themeColor="accent4"/>
              </w:rPr>
            </w:pPr>
            <w:r w:rsidRPr="009C3AC7">
              <w:rPr>
                <w:rFonts w:ascii="Times New Roman" w:hAnsi="Times New Roman" w:cs="Times New Roman"/>
              </w:rPr>
              <w:t>105</w:t>
            </w:r>
          </w:p>
        </w:tc>
        <w:tc>
          <w:tcPr>
            <w:tcW w:w="3118" w:type="dxa"/>
          </w:tcPr>
          <w:p w14:paraId="20E4091C" w14:textId="331191B3" w:rsidR="00A4592B" w:rsidRPr="009C3AC7" w:rsidRDefault="00A4592B" w:rsidP="009B76DE">
            <w:pPr>
              <w:jc w:val="center"/>
              <w:rPr>
                <w:rFonts w:ascii="Times New Roman" w:hAnsi="Times New Roman" w:cs="Times New Roman"/>
              </w:rPr>
            </w:pPr>
            <w:r w:rsidRPr="009C3AC7">
              <w:rPr>
                <w:rFonts w:ascii="Times New Roman" w:hAnsi="Times New Roman" w:cs="Times New Roman"/>
              </w:rPr>
              <w:t>45</w:t>
            </w:r>
          </w:p>
        </w:tc>
      </w:tr>
      <w:tr w:rsidR="00A4592B" w:rsidRPr="009C3AC7" w14:paraId="1519B5D0" w14:textId="673E3FA0" w:rsidTr="00A4592B">
        <w:trPr>
          <w:trHeight w:val="70"/>
        </w:trPr>
        <w:tc>
          <w:tcPr>
            <w:tcW w:w="3681" w:type="dxa"/>
          </w:tcPr>
          <w:p w14:paraId="4CCE9D7B" w14:textId="2B8F8A1F" w:rsidR="00A4592B" w:rsidRPr="009C3AC7" w:rsidRDefault="00A4592B" w:rsidP="009B76DE">
            <w:pPr>
              <w:jc w:val="center"/>
              <w:rPr>
                <w:rFonts w:ascii="Times New Roman" w:hAnsi="Times New Roman" w:cs="Times New Roman"/>
              </w:rPr>
            </w:pPr>
            <w:r w:rsidRPr="009C3AC7">
              <w:rPr>
                <w:rFonts w:ascii="Times New Roman" w:hAnsi="Times New Roman" w:cs="Times New Roman"/>
              </w:rPr>
              <w:t>Bendrosios citologijos tyrimai (audinių ir organizmo skysčių, šlapimo)</w:t>
            </w:r>
          </w:p>
        </w:tc>
        <w:tc>
          <w:tcPr>
            <w:tcW w:w="3118" w:type="dxa"/>
          </w:tcPr>
          <w:p w14:paraId="10E578AC" w14:textId="197AE722" w:rsidR="00A4592B" w:rsidRPr="009C3AC7" w:rsidRDefault="00A4592B" w:rsidP="009B76DE">
            <w:pPr>
              <w:jc w:val="center"/>
              <w:rPr>
                <w:rFonts w:ascii="Times New Roman" w:hAnsi="Times New Roman" w:cs="Times New Roman"/>
                <w:color w:val="FFC000" w:themeColor="accent4"/>
              </w:rPr>
            </w:pPr>
            <w:r w:rsidRPr="009C3AC7">
              <w:rPr>
                <w:rFonts w:ascii="Times New Roman" w:hAnsi="Times New Roman" w:cs="Times New Roman"/>
              </w:rPr>
              <w:t>520</w:t>
            </w:r>
          </w:p>
        </w:tc>
        <w:tc>
          <w:tcPr>
            <w:tcW w:w="3118" w:type="dxa"/>
          </w:tcPr>
          <w:p w14:paraId="5A1BCFC4" w14:textId="31611AA8" w:rsidR="00A4592B" w:rsidRPr="009C3AC7" w:rsidRDefault="00A4592B" w:rsidP="009B76DE">
            <w:pPr>
              <w:jc w:val="center"/>
              <w:rPr>
                <w:rFonts w:ascii="Times New Roman" w:hAnsi="Times New Roman" w:cs="Times New Roman"/>
              </w:rPr>
            </w:pPr>
            <w:r w:rsidRPr="009C3AC7">
              <w:rPr>
                <w:rFonts w:ascii="Times New Roman" w:hAnsi="Times New Roman" w:cs="Times New Roman"/>
              </w:rPr>
              <w:t>558</w:t>
            </w:r>
          </w:p>
        </w:tc>
      </w:tr>
      <w:tr w:rsidR="00A4592B" w:rsidRPr="009C3AC7" w14:paraId="309528E3" w14:textId="77FE6898" w:rsidTr="00A4592B">
        <w:tc>
          <w:tcPr>
            <w:tcW w:w="3681" w:type="dxa"/>
          </w:tcPr>
          <w:p w14:paraId="5F0E15B8" w14:textId="77777777" w:rsidR="00A4592B" w:rsidRPr="009C3AC7" w:rsidRDefault="00A4592B" w:rsidP="009B76DE">
            <w:pPr>
              <w:jc w:val="center"/>
              <w:rPr>
                <w:rFonts w:ascii="Times New Roman" w:eastAsia="Times New Roman" w:hAnsi="Times New Roman" w:cs="Times New Roman"/>
              </w:rPr>
            </w:pPr>
            <w:r w:rsidRPr="009C3AC7">
              <w:rPr>
                <w:rFonts w:ascii="Times New Roman" w:eastAsia="Times New Roman" w:hAnsi="Times New Roman" w:cs="Times New Roman"/>
              </w:rPr>
              <w:t>Iš viso:</w:t>
            </w:r>
          </w:p>
        </w:tc>
        <w:tc>
          <w:tcPr>
            <w:tcW w:w="3118" w:type="dxa"/>
          </w:tcPr>
          <w:p w14:paraId="636381DB" w14:textId="307EE844" w:rsidR="00A4592B" w:rsidRPr="009C3AC7" w:rsidRDefault="00A4592B" w:rsidP="009B76DE">
            <w:pPr>
              <w:jc w:val="center"/>
              <w:rPr>
                <w:rFonts w:ascii="Times New Roman" w:hAnsi="Times New Roman" w:cs="Times New Roman"/>
              </w:rPr>
            </w:pPr>
            <w:r w:rsidRPr="009C3AC7">
              <w:rPr>
                <w:rFonts w:ascii="Times New Roman" w:hAnsi="Times New Roman" w:cs="Times New Roman"/>
              </w:rPr>
              <w:t>3035</w:t>
            </w:r>
          </w:p>
        </w:tc>
        <w:tc>
          <w:tcPr>
            <w:tcW w:w="3118" w:type="dxa"/>
          </w:tcPr>
          <w:p w14:paraId="75FF799D" w14:textId="220014A4" w:rsidR="00A4592B" w:rsidRPr="009C3AC7" w:rsidRDefault="00A4592B" w:rsidP="009B76DE">
            <w:pPr>
              <w:jc w:val="center"/>
              <w:rPr>
                <w:rFonts w:ascii="Times New Roman" w:hAnsi="Times New Roman" w:cs="Times New Roman"/>
              </w:rPr>
            </w:pPr>
            <w:r w:rsidRPr="009C3AC7">
              <w:rPr>
                <w:rFonts w:ascii="Times New Roman" w:hAnsi="Times New Roman" w:cs="Times New Roman"/>
              </w:rPr>
              <w:t>3494</w:t>
            </w:r>
          </w:p>
        </w:tc>
      </w:tr>
    </w:tbl>
    <w:p w14:paraId="654E5A17" w14:textId="77777777" w:rsidR="001B489C" w:rsidRPr="009C3AC7" w:rsidRDefault="001B489C" w:rsidP="001B489C">
      <w:pPr>
        <w:ind w:firstLine="567"/>
        <w:rPr>
          <w:b/>
        </w:rPr>
      </w:pPr>
    </w:p>
    <w:p w14:paraId="0034F704" w14:textId="67F8A2C1" w:rsidR="001B489C" w:rsidRPr="009C3AC7" w:rsidRDefault="001B489C" w:rsidP="00465801">
      <w:pPr>
        <w:jc w:val="center"/>
        <w:rPr>
          <w:b/>
        </w:rPr>
      </w:pPr>
      <w:r w:rsidRPr="009C3AC7">
        <w:rPr>
          <w:b/>
        </w:rPr>
        <w:t>Funkcinės diagnostikos kabinetas</w:t>
      </w:r>
    </w:p>
    <w:p w14:paraId="0AF4F700" w14:textId="77777777" w:rsidR="001B489C" w:rsidRPr="009C3AC7" w:rsidRDefault="001B489C" w:rsidP="001B489C">
      <w:pPr>
        <w:ind w:firstLine="567"/>
        <w:jc w:val="center"/>
        <w:rPr>
          <w:b/>
        </w:rPr>
      </w:pPr>
    </w:p>
    <w:p w14:paraId="72B4645C" w14:textId="21F77BBD" w:rsidR="001B489C" w:rsidRPr="009C3AC7" w:rsidRDefault="001B489C" w:rsidP="001B489C">
      <w:pPr>
        <w:ind w:firstLine="567"/>
      </w:pPr>
      <w:r w:rsidRPr="009C3AC7">
        <w:t xml:space="preserve">Užrašytos </w:t>
      </w:r>
      <w:r w:rsidR="00B73624" w:rsidRPr="009C3AC7">
        <w:t>62</w:t>
      </w:r>
      <w:r w:rsidR="00A4592B" w:rsidRPr="009C3AC7">
        <w:t>2</w:t>
      </w:r>
      <w:r w:rsidR="00D8254E" w:rsidRPr="009C3AC7">
        <w:t xml:space="preserve"> </w:t>
      </w:r>
      <w:r w:rsidRPr="009C3AC7">
        <w:t>elektrokardiogramos.</w:t>
      </w:r>
    </w:p>
    <w:p w14:paraId="0D7B0FD5" w14:textId="77777777" w:rsidR="001B489C" w:rsidRPr="009C3AC7" w:rsidRDefault="001B489C" w:rsidP="001B489C">
      <w:pPr>
        <w:ind w:firstLine="567"/>
      </w:pPr>
    </w:p>
    <w:p w14:paraId="451B10A8" w14:textId="77777777" w:rsidR="001B489C" w:rsidRPr="009C3AC7" w:rsidRDefault="001B489C" w:rsidP="001B489C">
      <w:pPr>
        <w:jc w:val="center"/>
        <w:rPr>
          <w:b/>
        </w:rPr>
      </w:pPr>
      <w:r w:rsidRPr="009C3AC7">
        <w:rPr>
          <w:b/>
        </w:rPr>
        <w:t>Fizinės medicinos ir reabilitacijos kabinetas</w:t>
      </w:r>
    </w:p>
    <w:p w14:paraId="3A5AD24D" w14:textId="77777777" w:rsidR="001B489C" w:rsidRPr="009C3AC7" w:rsidRDefault="001B489C" w:rsidP="001B489C">
      <w:pPr>
        <w:ind w:firstLine="567"/>
      </w:pPr>
    </w:p>
    <w:p w14:paraId="50C65ECA" w14:textId="34C9E9C9" w:rsidR="002C1909" w:rsidRPr="009C3AC7" w:rsidRDefault="001B489C" w:rsidP="001B489C">
      <w:pPr>
        <w:ind w:firstLine="567"/>
        <w:jc w:val="both"/>
      </w:pPr>
      <w:r w:rsidRPr="009C3AC7">
        <w:t xml:space="preserve">Fizinės medicinos ir reabilitacijos kabinete apsilankė </w:t>
      </w:r>
      <w:r w:rsidR="00424518" w:rsidRPr="009C3AC7">
        <w:t>758</w:t>
      </w:r>
      <w:r w:rsidRPr="009C3AC7">
        <w:t xml:space="preserve"> pacientai, suteiktos </w:t>
      </w:r>
      <w:r w:rsidR="00A4592B" w:rsidRPr="009C3AC7">
        <w:t>2346</w:t>
      </w:r>
      <w:r w:rsidRPr="009C3AC7">
        <w:t xml:space="preserve"> </w:t>
      </w:r>
      <w:r w:rsidR="002B6B33" w:rsidRPr="009C3AC7">
        <w:t xml:space="preserve">fizioterapijos </w:t>
      </w:r>
      <w:r w:rsidRPr="009C3AC7">
        <w:t>pro</w:t>
      </w:r>
      <w:r w:rsidR="00B6718A" w:rsidRPr="009C3AC7">
        <w:t>cedūros,</w:t>
      </w:r>
      <w:r w:rsidR="007C4C9C" w:rsidRPr="009C3AC7">
        <w:t xml:space="preserve"> iš jų</w:t>
      </w:r>
      <w:r w:rsidRPr="009C3AC7">
        <w:t xml:space="preserve"> </w:t>
      </w:r>
      <w:r w:rsidR="0015642A">
        <w:t xml:space="preserve">– </w:t>
      </w:r>
      <w:r w:rsidR="00A4592B" w:rsidRPr="009C3AC7">
        <w:t>30</w:t>
      </w:r>
      <w:r w:rsidRPr="009C3AC7">
        <w:t xml:space="preserve"> procedūr</w:t>
      </w:r>
      <w:r w:rsidR="00572E79" w:rsidRPr="009C3AC7">
        <w:t>ų</w:t>
      </w:r>
      <w:r w:rsidRPr="009C3AC7">
        <w:t xml:space="preserve"> suteiktos vaikams</w:t>
      </w:r>
      <w:r w:rsidR="0015642A">
        <w:t>;</w:t>
      </w:r>
      <w:r w:rsidR="007C4C9C" w:rsidRPr="009C3AC7">
        <w:t xml:space="preserve"> balneoterapijos ir hidroterapijos procedūros atliktos </w:t>
      </w:r>
      <w:r w:rsidR="0036444E" w:rsidRPr="009C3AC7">
        <w:t>576</w:t>
      </w:r>
      <w:r w:rsidR="007C4C9C" w:rsidRPr="009C3AC7">
        <w:t xml:space="preserve"> kartus</w:t>
      </w:r>
      <w:r w:rsidR="0036444E" w:rsidRPr="009C3AC7">
        <w:t>.</w:t>
      </w:r>
    </w:p>
    <w:p w14:paraId="4942A292" w14:textId="52561209" w:rsidR="001B489C" w:rsidRPr="009C3AC7" w:rsidRDefault="007D2409" w:rsidP="001B489C">
      <w:pPr>
        <w:ind w:firstLine="567"/>
        <w:jc w:val="both"/>
      </w:pPr>
      <w:r w:rsidRPr="009C3AC7">
        <w:t>2</w:t>
      </w:r>
      <w:r w:rsidR="008D3C06" w:rsidRPr="009C3AC7">
        <w:t>0</w:t>
      </w:r>
      <w:r w:rsidR="002B6B33" w:rsidRPr="009C3AC7">
        <w:t>2</w:t>
      </w:r>
      <w:r w:rsidR="00A4592B" w:rsidRPr="009C3AC7">
        <w:t>1</w:t>
      </w:r>
      <w:r w:rsidR="008D3C06" w:rsidRPr="009C3AC7">
        <w:t xml:space="preserve"> metais </w:t>
      </w:r>
      <w:r w:rsidR="00655A2C" w:rsidRPr="009C3AC7">
        <w:t>pacientams</w:t>
      </w:r>
      <w:r w:rsidR="00053148" w:rsidRPr="009C3AC7">
        <w:t xml:space="preserve"> </w:t>
      </w:r>
      <w:r w:rsidR="008D3C06" w:rsidRPr="009C3AC7">
        <w:t xml:space="preserve">suteiktos </w:t>
      </w:r>
      <w:r w:rsidR="007C4C9C" w:rsidRPr="009C3AC7">
        <w:t>1285</w:t>
      </w:r>
      <w:r w:rsidR="008D3C06" w:rsidRPr="009C3AC7">
        <w:t xml:space="preserve"> masažo ir </w:t>
      </w:r>
      <w:r w:rsidR="00A4592B" w:rsidRPr="009C3AC7">
        <w:t>867</w:t>
      </w:r>
      <w:r w:rsidR="008D3C06" w:rsidRPr="009C3AC7">
        <w:t xml:space="preserve"> kineziterapijos procedūros.</w:t>
      </w:r>
    </w:p>
    <w:p w14:paraId="0F6FE9A5" w14:textId="2EBE567B" w:rsidR="009C3AC7" w:rsidRDefault="009C3AC7">
      <w:pPr>
        <w:rPr>
          <w:b/>
          <w:bCs/>
          <w:i/>
          <w:iCs/>
        </w:rPr>
      </w:pPr>
      <w:r>
        <w:rPr>
          <w:b/>
          <w:bCs/>
          <w:i/>
          <w:iCs/>
        </w:rPr>
        <w:br w:type="page"/>
      </w:r>
    </w:p>
    <w:p w14:paraId="25057ED4" w14:textId="70ABEC99" w:rsidR="00AF4890" w:rsidRPr="009C3AC7" w:rsidRDefault="00AF4890" w:rsidP="00AF4890">
      <w:pPr>
        <w:jc w:val="center"/>
        <w:rPr>
          <w:b/>
          <w:bCs/>
        </w:rPr>
      </w:pPr>
      <w:r w:rsidRPr="009C3AC7">
        <w:rPr>
          <w:b/>
          <w:bCs/>
        </w:rPr>
        <w:lastRenderedPageBreak/>
        <w:t>Asmens sveikatos priežiūros paslaugų teikimo stebėsenos rodikliai</w:t>
      </w:r>
      <w:r w:rsidR="005F5B23" w:rsidRPr="009C3AC7">
        <w:rPr>
          <w:b/>
          <w:bCs/>
        </w:rPr>
        <w:t xml:space="preserve"> </w:t>
      </w:r>
      <w:r w:rsidRPr="009C3AC7">
        <w:rPr>
          <w:b/>
          <w:bCs/>
        </w:rPr>
        <w:t>(pagal kuriuos matuojami Pirminės ambulatorinės asmens sveikatos priežiūros geri darbo rezultatai)</w:t>
      </w:r>
    </w:p>
    <w:p w14:paraId="5EDF4515" w14:textId="77777777" w:rsidR="00AF4890" w:rsidRPr="009C3AC7" w:rsidRDefault="00AF4890" w:rsidP="00AF4890">
      <w:pPr>
        <w:jc w:val="center"/>
      </w:pPr>
    </w:p>
    <w:tbl>
      <w:tblPr>
        <w:tblStyle w:val="Lentelstinklelis"/>
        <w:tblW w:w="10090" w:type="dxa"/>
        <w:tblLook w:val="04A0" w:firstRow="1" w:lastRow="0" w:firstColumn="1" w:lastColumn="0" w:noHBand="0" w:noVBand="1"/>
      </w:tblPr>
      <w:tblGrid>
        <w:gridCol w:w="2536"/>
        <w:gridCol w:w="11"/>
        <w:gridCol w:w="1915"/>
        <w:gridCol w:w="69"/>
        <w:gridCol w:w="2130"/>
        <w:gridCol w:w="1698"/>
        <w:gridCol w:w="79"/>
        <w:gridCol w:w="1637"/>
        <w:gridCol w:w="15"/>
      </w:tblGrid>
      <w:tr w:rsidR="00AF4890" w:rsidRPr="009C3AC7" w14:paraId="50EB3FBF" w14:textId="77777777" w:rsidTr="00427F03">
        <w:trPr>
          <w:gridAfter w:val="1"/>
          <w:wAfter w:w="15" w:type="dxa"/>
        </w:trPr>
        <w:tc>
          <w:tcPr>
            <w:tcW w:w="2536" w:type="dxa"/>
          </w:tcPr>
          <w:p w14:paraId="366A2E11" w14:textId="77777777" w:rsidR="00AF4890" w:rsidRPr="009C3AC7" w:rsidRDefault="00AF4890" w:rsidP="00A2655E">
            <w:pPr>
              <w:rPr>
                <w:rFonts w:ascii="Times New Roman" w:hAnsi="Times New Roman" w:cs="Times New Roman"/>
                <w:b/>
                <w:bCs/>
              </w:rPr>
            </w:pPr>
            <w:r w:rsidRPr="009C3AC7">
              <w:rPr>
                <w:rFonts w:ascii="Times New Roman" w:hAnsi="Times New Roman" w:cs="Times New Roman"/>
                <w:b/>
                <w:bCs/>
              </w:rPr>
              <w:t>Rodiklis</w:t>
            </w:r>
          </w:p>
        </w:tc>
        <w:tc>
          <w:tcPr>
            <w:tcW w:w="1926" w:type="dxa"/>
            <w:gridSpan w:val="2"/>
          </w:tcPr>
          <w:p w14:paraId="22760A2F" w14:textId="77777777" w:rsidR="00AF4890" w:rsidRPr="009C3AC7" w:rsidRDefault="00AF4890" w:rsidP="00A2655E">
            <w:pPr>
              <w:rPr>
                <w:rFonts w:ascii="Times New Roman" w:hAnsi="Times New Roman" w:cs="Times New Roman"/>
                <w:b/>
                <w:bCs/>
              </w:rPr>
            </w:pPr>
            <w:r w:rsidRPr="009C3AC7">
              <w:rPr>
                <w:rFonts w:ascii="Times New Roman" w:hAnsi="Times New Roman" w:cs="Times New Roman"/>
                <w:b/>
                <w:bCs/>
              </w:rPr>
              <w:t>Rodiklio reikšmė šalies mastu</w:t>
            </w:r>
          </w:p>
        </w:tc>
        <w:tc>
          <w:tcPr>
            <w:tcW w:w="2199" w:type="dxa"/>
            <w:gridSpan w:val="2"/>
          </w:tcPr>
          <w:p w14:paraId="257175E8" w14:textId="77777777" w:rsidR="00AF4890" w:rsidRPr="009C3AC7" w:rsidRDefault="00AF4890" w:rsidP="00A2655E">
            <w:pPr>
              <w:rPr>
                <w:rFonts w:ascii="Times New Roman" w:hAnsi="Times New Roman" w:cs="Times New Roman"/>
                <w:b/>
                <w:bCs/>
              </w:rPr>
            </w:pPr>
            <w:r w:rsidRPr="009C3AC7">
              <w:rPr>
                <w:rFonts w:ascii="Times New Roman" w:hAnsi="Times New Roman" w:cs="Times New Roman"/>
                <w:b/>
                <w:bCs/>
              </w:rPr>
              <w:t>Prirašytų asmenų skaičius/receptų skaičius</w:t>
            </w:r>
          </w:p>
        </w:tc>
        <w:tc>
          <w:tcPr>
            <w:tcW w:w="1777" w:type="dxa"/>
            <w:gridSpan w:val="2"/>
          </w:tcPr>
          <w:p w14:paraId="0CC50E0A" w14:textId="77777777" w:rsidR="00AF4890" w:rsidRPr="009C3AC7" w:rsidRDefault="00AF4890" w:rsidP="00A2655E">
            <w:pPr>
              <w:rPr>
                <w:rFonts w:ascii="Times New Roman" w:hAnsi="Times New Roman" w:cs="Times New Roman"/>
                <w:b/>
                <w:bCs/>
              </w:rPr>
            </w:pPr>
            <w:r w:rsidRPr="009C3AC7">
              <w:rPr>
                <w:rFonts w:ascii="Times New Roman" w:hAnsi="Times New Roman" w:cs="Times New Roman"/>
                <w:b/>
                <w:bCs/>
              </w:rPr>
              <w:t>Paslaugas gavusių/ hospitalizacijų/ receptų skaičius</w:t>
            </w:r>
          </w:p>
        </w:tc>
        <w:tc>
          <w:tcPr>
            <w:tcW w:w="1637" w:type="dxa"/>
          </w:tcPr>
          <w:p w14:paraId="7EB8576B" w14:textId="77777777" w:rsidR="00AF4890" w:rsidRPr="009C3AC7" w:rsidRDefault="00AF4890" w:rsidP="00A2655E">
            <w:pPr>
              <w:rPr>
                <w:rFonts w:ascii="Times New Roman" w:hAnsi="Times New Roman" w:cs="Times New Roman"/>
                <w:b/>
                <w:bCs/>
              </w:rPr>
            </w:pPr>
            <w:r w:rsidRPr="009C3AC7">
              <w:rPr>
                <w:rFonts w:ascii="Times New Roman" w:hAnsi="Times New Roman" w:cs="Times New Roman"/>
                <w:b/>
                <w:bCs/>
              </w:rPr>
              <w:t>Neringos PSPC</w:t>
            </w:r>
          </w:p>
          <w:p w14:paraId="00FE9026" w14:textId="77777777" w:rsidR="00AF4890" w:rsidRPr="009C3AC7" w:rsidRDefault="00AF4890" w:rsidP="00A2655E">
            <w:pPr>
              <w:rPr>
                <w:rFonts w:ascii="Times New Roman" w:hAnsi="Times New Roman" w:cs="Times New Roman"/>
                <w:b/>
                <w:bCs/>
              </w:rPr>
            </w:pPr>
            <w:r w:rsidRPr="009C3AC7">
              <w:rPr>
                <w:rFonts w:ascii="Times New Roman" w:hAnsi="Times New Roman" w:cs="Times New Roman"/>
                <w:b/>
                <w:bCs/>
              </w:rPr>
              <w:t>rodiklio reikšmė</w:t>
            </w:r>
          </w:p>
          <w:p w14:paraId="40ECA10D" w14:textId="77777777" w:rsidR="00AF4890" w:rsidRPr="009C3AC7" w:rsidRDefault="00AF4890" w:rsidP="00A2655E">
            <w:pPr>
              <w:rPr>
                <w:rFonts w:ascii="Times New Roman" w:hAnsi="Times New Roman" w:cs="Times New Roman"/>
                <w:b/>
                <w:bCs/>
              </w:rPr>
            </w:pPr>
          </w:p>
        </w:tc>
      </w:tr>
      <w:tr w:rsidR="00AF4890" w:rsidRPr="009C3AC7" w14:paraId="1DF2D84C" w14:textId="77777777" w:rsidTr="00427F03">
        <w:trPr>
          <w:gridAfter w:val="1"/>
          <w:wAfter w:w="15" w:type="dxa"/>
        </w:trPr>
        <w:tc>
          <w:tcPr>
            <w:tcW w:w="2536" w:type="dxa"/>
          </w:tcPr>
          <w:p w14:paraId="6BF96763" w14:textId="77777777" w:rsidR="00AF4890" w:rsidRPr="009C3AC7" w:rsidRDefault="00AF4890" w:rsidP="00A2655E">
            <w:pPr>
              <w:rPr>
                <w:rFonts w:ascii="Times New Roman" w:hAnsi="Times New Roman" w:cs="Times New Roman"/>
              </w:rPr>
            </w:pPr>
            <w:r w:rsidRPr="009C3AC7">
              <w:rPr>
                <w:rFonts w:ascii="Times New Roman" w:hAnsi="Times New Roman" w:cs="Times New Roman"/>
              </w:rPr>
              <w:t>Atrankinės mamografinės patikros dėl krūties vėžio finansavimo programos vykdymas</w:t>
            </w:r>
            <w:r w:rsidRPr="009C3AC7">
              <w:rPr>
                <w:rFonts w:ascii="Times New Roman" w:hAnsi="Times New Roman" w:cs="Times New Roman"/>
              </w:rPr>
              <w:tab/>
            </w:r>
          </w:p>
        </w:tc>
        <w:tc>
          <w:tcPr>
            <w:tcW w:w="1926" w:type="dxa"/>
            <w:gridSpan w:val="2"/>
          </w:tcPr>
          <w:p w14:paraId="5A003B79" w14:textId="449833F7" w:rsidR="00AF4890" w:rsidRPr="009C3AC7" w:rsidRDefault="00FD770F" w:rsidP="00A2655E">
            <w:pPr>
              <w:rPr>
                <w:rFonts w:ascii="Times New Roman" w:hAnsi="Times New Roman" w:cs="Times New Roman"/>
              </w:rPr>
            </w:pPr>
            <w:r w:rsidRPr="009C3AC7">
              <w:rPr>
                <w:rFonts w:ascii="Times New Roman" w:hAnsi="Times New Roman" w:cs="Times New Roman"/>
              </w:rPr>
              <w:t>31,55</w:t>
            </w:r>
            <w:r w:rsidR="00AF4890" w:rsidRPr="009C3AC7">
              <w:rPr>
                <w:rFonts w:ascii="Times New Roman" w:hAnsi="Times New Roman" w:cs="Times New Roman"/>
              </w:rPr>
              <w:t xml:space="preserve"> %</w:t>
            </w:r>
          </w:p>
        </w:tc>
        <w:tc>
          <w:tcPr>
            <w:tcW w:w="2199" w:type="dxa"/>
            <w:gridSpan w:val="2"/>
          </w:tcPr>
          <w:p w14:paraId="55F66A32" w14:textId="543379C1" w:rsidR="00AF4890" w:rsidRPr="009C3AC7" w:rsidRDefault="00AF4890" w:rsidP="00A2655E">
            <w:pPr>
              <w:rPr>
                <w:rFonts w:ascii="Times New Roman" w:hAnsi="Times New Roman" w:cs="Times New Roman"/>
              </w:rPr>
            </w:pPr>
            <w:r w:rsidRPr="009C3AC7">
              <w:rPr>
                <w:rFonts w:ascii="Times New Roman" w:hAnsi="Times New Roman" w:cs="Times New Roman"/>
              </w:rPr>
              <w:t>4</w:t>
            </w:r>
            <w:r w:rsidR="00FD770F" w:rsidRPr="009C3AC7">
              <w:rPr>
                <w:rFonts w:ascii="Times New Roman" w:hAnsi="Times New Roman" w:cs="Times New Roman"/>
              </w:rPr>
              <w:t>07</w:t>
            </w:r>
          </w:p>
        </w:tc>
        <w:tc>
          <w:tcPr>
            <w:tcW w:w="1777" w:type="dxa"/>
            <w:gridSpan w:val="2"/>
          </w:tcPr>
          <w:p w14:paraId="6954E6D0" w14:textId="0F276227" w:rsidR="00AF4890" w:rsidRPr="009C3AC7" w:rsidRDefault="00AF4890" w:rsidP="00A2655E">
            <w:pPr>
              <w:rPr>
                <w:rFonts w:ascii="Times New Roman" w:hAnsi="Times New Roman" w:cs="Times New Roman"/>
              </w:rPr>
            </w:pPr>
            <w:r w:rsidRPr="009C3AC7">
              <w:rPr>
                <w:rFonts w:ascii="Times New Roman" w:hAnsi="Times New Roman" w:cs="Times New Roman"/>
              </w:rPr>
              <w:t>15</w:t>
            </w:r>
            <w:r w:rsidR="00FD770F" w:rsidRPr="009C3AC7">
              <w:rPr>
                <w:rFonts w:ascii="Times New Roman" w:hAnsi="Times New Roman" w:cs="Times New Roman"/>
              </w:rPr>
              <w:t>1</w:t>
            </w:r>
          </w:p>
        </w:tc>
        <w:tc>
          <w:tcPr>
            <w:tcW w:w="1637" w:type="dxa"/>
          </w:tcPr>
          <w:p w14:paraId="7927B3EB" w14:textId="1DA9D8DB" w:rsidR="00AF4890" w:rsidRPr="009C3AC7" w:rsidRDefault="00FD770F" w:rsidP="00A2655E">
            <w:pPr>
              <w:rPr>
                <w:rFonts w:ascii="Times New Roman" w:hAnsi="Times New Roman" w:cs="Times New Roman"/>
              </w:rPr>
            </w:pPr>
            <w:r w:rsidRPr="009C3AC7">
              <w:rPr>
                <w:rFonts w:ascii="Times New Roman" w:hAnsi="Times New Roman" w:cs="Times New Roman"/>
              </w:rPr>
              <w:t>37,10</w:t>
            </w:r>
            <w:r w:rsidR="00AF4890" w:rsidRPr="009C3AC7">
              <w:rPr>
                <w:rFonts w:ascii="Times New Roman" w:hAnsi="Times New Roman" w:cs="Times New Roman"/>
              </w:rPr>
              <w:t xml:space="preserve"> %</w:t>
            </w:r>
          </w:p>
          <w:p w14:paraId="032E2FF7" w14:textId="77777777" w:rsidR="00AF4890" w:rsidRPr="009C3AC7" w:rsidRDefault="00AF4890" w:rsidP="00A2655E">
            <w:pPr>
              <w:rPr>
                <w:rFonts w:ascii="Times New Roman" w:hAnsi="Times New Roman" w:cs="Times New Roman"/>
              </w:rPr>
            </w:pPr>
          </w:p>
        </w:tc>
      </w:tr>
      <w:tr w:rsidR="00AF4890" w:rsidRPr="009C3AC7" w14:paraId="7AFF4BEE" w14:textId="77777777" w:rsidTr="00427F03">
        <w:tc>
          <w:tcPr>
            <w:tcW w:w="10090" w:type="dxa"/>
            <w:gridSpan w:val="9"/>
          </w:tcPr>
          <w:p w14:paraId="08608C9E" w14:textId="77777777" w:rsidR="00AF4890" w:rsidRPr="009C3AC7" w:rsidRDefault="00AF4890" w:rsidP="00A2655E">
            <w:pPr>
              <w:rPr>
                <w:rFonts w:ascii="Times New Roman" w:hAnsi="Times New Roman" w:cs="Times New Roman"/>
                <w:sz w:val="20"/>
                <w:szCs w:val="20"/>
              </w:rPr>
            </w:pPr>
            <w:r w:rsidRPr="009C3AC7">
              <w:rPr>
                <w:rFonts w:ascii="Times New Roman" w:hAnsi="Times New Roman" w:cs="Times New Roman"/>
                <w:color w:val="000000"/>
                <w:sz w:val="20"/>
                <w:szCs w:val="20"/>
              </w:rPr>
              <w:t>*reikšmė apskaičiuojama atsižvelgiant į prirašytų prie atitinkamos PAASP įstaigos moterų, kurioms buvo suteikta informavimo apie krūties piktybinių navikų profilaktiką ir siuntimo atlikti mamografiją paslauga per AMP programoje numatytą laikotarpį, dalį, palyginti su bendru prirašytų prie šios įstaigos moterų, pagal amžių turinčių teisę gauti šioje programoje numatytas paslaugas, skaičiumi.</w:t>
            </w:r>
          </w:p>
        </w:tc>
      </w:tr>
      <w:tr w:rsidR="00AF4890" w:rsidRPr="009C3AC7" w14:paraId="5A81B089" w14:textId="77777777" w:rsidTr="00427F03">
        <w:trPr>
          <w:gridAfter w:val="1"/>
          <w:wAfter w:w="15" w:type="dxa"/>
        </w:trPr>
        <w:tc>
          <w:tcPr>
            <w:tcW w:w="2536" w:type="dxa"/>
          </w:tcPr>
          <w:p w14:paraId="2F10F50E" w14:textId="77777777" w:rsidR="00AF4890" w:rsidRPr="009C3AC7" w:rsidRDefault="00AF4890" w:rsidP="00A2655E">
            <w:pPr>
              <w:rPr>
                <w:rFonts w:ascii="Times New Roman" w:hAnsi="Times New Roman" w:cs="Times New Roman"/>
              </w:rPr>
            </w:pPr>
            <w:r w:rsidRPr="009C3AC7">
              <w:rPr>
                <w:rFonts w:ascii="Times New Roman" w:hAnsi="Times New Roman" w:cs="Times New Roman"/>
              </w:rPr>
              <w:t>Bendras antimikrobinių vaistų skyrimo dažnis</w:t>
            </w:r>
          </w:p>
        </w:tc>
        <w:tc>
          <w:tcPr>
            <w:tcW w:w="1926" w:type="dxa"/>
            <w:gridSpan w:val="2"/>
          </w:tcPr>
          <w:p w14:paraId="3895DCD9" w14:textId="558F350A" w:rsidR="00AF4890" w:rsidRPr="009C3AC7" w:rsidRDefault="00FD770F" w:rsidP="00A2655E">
            <w:pPr>
              <w:rPr>
                <w:rFonts w:ascii="Times New Roman" w:hAnsi="Times New Roman" w:cs="Times New Roman"/>
              </w:rPr>
            </w:pPr>
            <w:r w:rsidRPr="009C3AC7">
              <w:rPr>
                <w:rFonts w:ascii="Times New Roman" w:hAnsi="Times New Roman" w:cs="Times New Roman"/>
              </w:rPr>
              <w:t>36,34</w:t>
            </w:r>
            <w:r w:rsidR="00AF4890" w:rsidRPr="009C3AC7">
              <w:rPr>
                <w:rFonts w:ascii="Times New Roman" w:hAnsi="Times New Roman" w:cs="Times New Roman"/>
              </w:rPr>
              <w:t xml:space="preserve"> %</w:t>
            </w:r>
          </w:p>
        </w:tc>
        <w:tc>
          <w:tcPr>
            <w:tcW w:w="2199" w:type="dxa"/>
            <w:gridSpan w:val="2"/>
          </w:tcPr>
          <w:p w14:paraId="6846449A" w14:textId="092846E6" w:rsidR="00AF4890" w:rsidRPr="009C3AC7" w:rsidRDefault="00FD770F" w:rsidP="00A2655E">
            <w:pPr>
              <w:rPr>
                <w:rFonts w:ascii="Times New Roman" w:hAnsi="Times New Roman" w:cs="Times New Roman"/>
              </w:rPr>
            </w:pPr>
            <w:r w:rsidRPr="009C3AC7">
              <w:rPr>
                <w:rFonts w:ascii="Times New Roman" w:hAnsi="Times New Roman" w:cs="Times New Roman"/>
              </w:rPr>
              <w:t>54</w:t>
            </w:r>
          </w:p>
        </w:tc>
        <w:tc>
          <w:tcPr>
            <w:tcW w:w="1777" w:type="dxa"/>
            <w:gridSpan w:val="2"/>
          </w:tcPr>
          <w:p w14:paraId="6AC2A4A1" w14:textId="071430B5" w:rsidR="00AF4890" w:rsidRPr="009C3AC7" w:rsidRDefault="00FD770F" w:rsidP="00A2655E">
            <w:pPr>
              <w:rPr>
                <w:rFonts w:ascii="Times New Roman" w:hAnsi="Times New Roman" w:cs="Times New Roman"/>
              </w:rPr>
            </w:pPr>
            <w:r w:rsidRPr="009C3AC7">
              <w:rPr>
                <w:rFonts w:ascii="Times New Roman" w:hAnsi="Times New Roman" w:cs="Times New Roman"/>
              </w:rPr>
              <w:t>24</w:t>
            </w:r>
          </w:p>
        </w:tc>
        <w:tc>
          <w:tcPr>
            <w:tcW w:w="1637" w:type="dxa"/>
          </w:tcPr>
          <w:p w14:paraId="4832A8C7" w14:textId="1BF4ACE9" w:rsidR="00AF4890" w:rsidRPr="009C3AC7" w:rsidRDefault="00FD770F" w:rsidP="00A2655E">
            <w:pPr>
              <w:rPr>
                <w:rFonts w:ascii="Times New Roman" w:hAnsi="Times New Roman" w:cs="Times New Roman"/>
              </w:rPr>
            </w:pPr>
            <w:r w:rsidRPr="009C3AC7">
              <w:rPr>
                <w:rFonts w:ascii="Times New Roman" w:hAnsi="Times New Roman" w:cs="Times New Roman"/>
              </w:rPr>
              <w:t>44,44</w:t>
            </w:r>
            <w:r w:rsidR="00AF4890" w:rsidRPr="009C3AC7">
              <w:rPr>
                <w:rFonts w:ascii="Times New Roman" w:hAnsi="Times New Roman" w:cs="Times New Roman"/>
              </w:rPr>
              <w:t xml:space="preserve"> %</w:t>
            </w:r>
          </w:p>
        </w:tc>
      </w:tr>
      <w:tr w:rsidR="00AF4890" w:rsidRPr="009C3AC7" w14:paraId="09D23AD2" w14:textId="77777777" w:rsidTr="00427F03">
        <w:tc>
          <w:tcPr>
            <w:tcW w:w="10090" w:type="dxa"/>
            <w:gridSpan w:val="9"/>
          </w:tcPr>
          <w:p w14:paraId="3C5E543B" w14:textId="77777777" w:rsidR="00AF4890" w:rsidRPr="009C3AC7" w:rsidRDefault="00AF4890" w:rsidP="00A2655E">
            <w:pPr>
              <w:rPr>
                <w:rFonts w:ascii="Times New Roman" w:hAnsi="Times New Roman" w:cs="Times New Roman"/>
                <w:sz w:val="20"/>
                <w:szCs w:val="20"/>
              </w:rPr>
            </w:pPr>
            <w:r w:rsidRPr="009C3AC7">
              <w:rPr>
                <w:rFonts w:ascii="Times New Roman" w:hAnsi="Times New Roman" w:cs="Times New Roman"/>
                <w:color w:val="000000"/>
                <w:sz w:val="20"/>
                <w:szCs w:val="20"/>
              </w:rPr>
              <w:t>*reikšmė apskaičiuojama atsižvelgiant į ataskaitiniu laikotarpiu viršutinių kvėpavimo takų infekcija (kodai J00–J06 pagal TLK-10-AM) sirgusių prirašytų prie PAASP įstaigos 0–7 metų vaikų, kuriems buvo išrašyti kompensuojamųjų antimikrobinių vaistų receptai, dalį, palyginti su bendru ataskaitiniu laikotarpiu viršutinių kvėpavimo takų infekcija (kodai J00–J06 pagal TLK-10-AM) sirgusių 0–7 metų vaikų, prirašytų prie šios įstaigos, skaičiumi.</w:t>
            </w:r>
          </w:p>
        </w:tc>
      </w:tr>
      <w:tr w:rsidR="00AF4890" w:rsidRPr="009C3AC7" w14:paraId="7600A782" w14:textId="77777777" w:rsidTr="00427F03">
        <w:trPr>
          <w:gridAfter w:val="1"/>
          <w:wAfter w:w="15" w:type="dxa"/>
        </w:trPr>
        <w:tc>
          <w:tcPr>
            <w:tcW w:w="2536" w:type="dxa"/>
          </w:tcPr>
          <w:p w14:paraId="61274688" w14:textId="10065E77" w:rsidR="00AF4890" w:rsidRPr="009C3AC7" w:rsidRDefault="005F5B23" w:rsidP="00A2655E">
            <w:pPr>
              <w:rPr>
                <w:rFonts w:ascii="Times New Roman" w:hAnsi="Times New Roman" w:cs="Times New Roman"/>
              </w:rPr>
            </w:pPr>
            <w:r w:rsidRPr="009C3AC7">
              <w:rPr>
                <w:rFonts w:ascii="Times New Roman" w:hAnsi="Times New Roman" w:cs="Times New Roman"/>
              </w:rPr>
              <w:t>Gimdos kaklelio piktybinių navikų prevencinių priemonių finansavimo programos vykdymas</w:t>
            </w:r>
          </w:p>
        </w:tc>
        <w:tc>
          <w:tcPr>
            <w:tcW w:w="1926" w:type="dxa"/>
            <w:gridSpan w:val="2"/>
          </w:tcPr>
          <w:p w14:paraId="3AC9AABF" w14:textId="5B1FBB2D" w:rsidR="00AF4890" w:rsidRPr="009C3AC7" w:rsidRDefault="00427F03" w:rsidP="00A2655E">
            <w:pPr>
              <w:rPr>
                <w:rFonts w:ascii="Times New Roman" w:hAnsi="Times New Roman" w:cs="Times New Roman"/>
              </w:rPr>
            </w:pPr>
            <w:r>
              <w:rPr>
                <w:rFonts w:ascii="Times New Roman" w:hAnsi="Times New Roman" w:cs="Times New Roman"/>
              </w:rPr>
              <w:t>32,62</w:t>
            </w:r>
            <w:r w:rsidR="00AF4890" w:rsidRPr="009C3AC7">
              <w:rPr>
                <w:rFonts w:ascii="Times New Roman" w:hAnsi="Times New Roman" w:cs="Times New Roman"/>
              </w:rPr>
              <w:t xml:space="preserve"> %</w:t>
            </w:r>
          </w:p>
        </w:tc>
        <w:tc>
          <w:tcPr>
            <w:tcW w:w="2199" w:type="dxa"/>
            <w:gridSpan w:val="2"/>
          </w:tcPr>
          <w:p w14:paraId="65A824F8" w14:textId="75164BCC" w:rsidR="00AF4890" w:rsidRPr="009C3AC7" w:rsidRDefault="00AF4890" w:rsidP="00A2655E">
            <w:pPr>
              <w:rPr>
                <w:rFonts w:ascii="Times New Roman" w:hAnsi="Times New Roman" w:cs="Times New Roman"/>
              </w:rPr>
            </w:pPr>
            <w:r w:rsidRPr="009C3AC7">
              <w:rPr>
                <w:rFonts w:ascii="Times New Roman" w:hAnsi="Times New Roman" w:cs="Times New Roman"/>
              </w:rPr>
              <w:t>6</w:t>
            </w:r>
            <w:r w:rsidR="00FD770F" w:rsidRPr="009C3AC7">
              <w:rPr>
                <w:rFonts w:ascii="Times New Roman" w:hAnsi="Times New Roman" w:cs="Times New Roman"/>
              </w:rPr>
              <w:t>07</w:t>
            </w:r>
          </w:p>
        </w:tc>
        <w:tc>
          <w:tcPr>
            <w:tcW w:w="1777" w:type="dxa"/>
            <w:gridSpan w:val="2"/>
          </w:tcPr>
          <w:p w14:paraId="7E9F3826" w14:textId="161A766D" w:rsidR="00AF4890" w:rsidRPr="009C3AC7" w:rsidRDefault="00FD770F" w:rsidP="00A2655E">
            <w:pPr>
              <w:rPr>
                <w:rFonts w:ascii="Times New Roman" w:hAnsi="Times New Roman" w:cs="Times New Roman"/>
              </w:rPr>
            </w:pPr>
            <w:r w:rsidRPr="009C3AC7">
              <w:rPr>
                <w:rFonts w:ascii="Times New Roman" w:hAnsi="Times New Roman" w:cs="Times New Roman"/>
              </w:rPr>
              <w:t>130</w:t>
            </w:r>
          </w:p>
        </w:tc>
        <w:tc>
          <w:tcPr>
            <w:tcW w:w="1637" w:type="dxa"/>
          </w:tcPr>
          <w:p w14:paraId="3D3A05E3" w14:textId="4566FDB0" w:rsidR="00AF4890" w:rsidRPr="009C3AC7" w:rsidRDefault="00FD770F" w:rsidP="00A2655E">
            <w:pPr>
              <w:rPr>
                <w:rFonts w:ascii="Times New Roman" w:hAnsi="Times New Roman" w:cs="Times New Roman"/>
              </w:rPr>
            </w:pPr>
            <w:r w:rsidRPr="009C3AC7">
              <w:rPr>
                <w:rFonts w:ascii="Times New Roman" w:hAnsi="Times New Roman" w:cs="Times New Roman"/>
              </w:rPr>
              <w:t>21,42</w:t>
            </w:r>
            <w:r w:rsidR="00AF4890" w:rsidRPr="009C3AC7">
              <w:rPr>
                <w:rFonts w:ascii="Times New Roman" w:hAnsi="Times New Roman" w:cs="Times New Roman"/>
              </w:rPr>
              <w:t xml:space="preserve"> %</w:t>
            </w:r>
          </w:p>
        </w:tc>
      </w:tr>
      <w:tr w:rsidR="00AF4890" w:rsidRPr="009C3AC7" w14:paraId="0261C2A4" w14:textId="77777777" w:rsidTr="00427F03">
        <w:tc>
          <w:tcPr>
            <w:tcW w:w="10090" w:type="dxa"/>
            <w:gridSpan w:val="9"/>
          </w:tcPr>
          <w:p w14:paraId="12272276" w14:textId="77777777" w:rsidR="00AF4890" w:rsidRPr="009C3AC7" w:rsidRDefault="00AF4890" w:rsidP="00A2655E">
            <w:pPr>
              <w:rPr>
                <w:rFonts w:ascii="Times New Roman" w:hAnsi="Times New Roman" w:cs="Times New Roman"/>
                <w:sz w:val="20"/>
                <w:szCs w:val="20"/>
              </w:rPr>
            </w:pPr>
            <w:r w:rsidRPr="009C3AC7">
              <w:rPr>
                <w:rFonts w:ascii="Times New Roman" w:hAnsi="Times New Roman" w:cs="Times New Roman"/>
                <w:color w:val="000000"/>
                <w:sz w:val="20"/>
                <w:szCs w:val="20"/>
              </w:rPr>
              <w:t>*reikšmė apskaičiuojama atsižvelgiant į prirašytų prie įstaigos moterų, kurioms buvo suteikta gimdos kaklelio citologinio tepinėlio paėmimo ir rezultatų įvertinimo paslauga per GKV programoje numatytą laikotarpį, dalį, palyginti su bendru prirašytų prie šios įstaigos moterų, pagal amžių turinčių teisę gauti šioje programoje numatytas paslaugas, skaičiumi.</w:t>
            </w:r>
          </w:p>
        </w:tc>
      </w:tr>
      <w:tr w:rsidR="00AF4890" w:rsidRPr="009C3AC7" w14:paraId="21712811" w14:textId="77777777" w:rsidTr="00427F03">
        <w:trPr>
          <w:gridAfter w:val="1"/>
          <w:wAfter w:w="15" w:type="dxa"/>
        </w:trPr>
        <w:tc>
          <w:tcPr>
            <w:tcW w:w="2536" w:type="dxa"/>
          </w:tcPr>
          <w:p w14:paraId="7B74C2C6" w14:textId="77777777" w:rsidR="00AF4890" w:rsidRPr="009C3AC7" w:rsidRDefault="00AF4890" w:rsidP="00A2655E">
            <w:pPr>
              <w:rPr>
                <w:rFonts w:ascii="Times New Roman" w:hAnsi="Times New Roman" w:cs="Times New Roman"/>
              </w:rPr>
            </w:pPr>
            <w:r w:rsidRPr="009C3AC7">
              <w:rPr>
                <w:rFonts w:ascii="Times New Roman" w:hAnsi="Times New Roman" w:cs="Times New Roman"/>
              </w:rPr>
              <w:t>Siauro spektro antimikrobinių vaistų (fenoksimetilpenicilino) skyrimo dažnis</w:t>
            </w:r>
          </w:p>
        </w:tc>
        <w:tc>
          <w:tcPr>
            <w:tcW w:w="1926" w:type="dxa"/>
            <w:gridSpan w:val="2"/>
          </w:tcPr>
          <w:p w14:paraId="496124C9" w14:textId="6336C98F" w:rsidR="00AF4890" w:rsidRPr="009C3AC7" w:rsidRDefault="00FD770F" w:rsidP="00A2655E">
            <w:pPr>
              <w:rPr>
                <w:rFonts w:ascii="Times New Roman" w:hAnsi="Times New Roman" w:cs="Times New Roman"/>
              </w:rPr>
            </w:pPr>
            <w:r w:rsidRPr="009C3AC7">
              <w:rPr>
                <w:rFonts w:ascii="Times New Roman" w:hAnsi="Times New Roman" w:cs="Times New Roman"/>
              </w:rPr>
              <w:t>8,56</w:t>
            </w:r>
            <w:r w:rsidR="00AF4890" w:rsidRPr="009C3AC7">
              <w:rPr>
                <w:rFonts w:ascii="Times New Roman" w:hAnsi="Times New Roman" w:cs="Times New Roman"/>
              </w:rPr>
              <w:t xml:space="preserve"> %</w:t>
            </w:r>
          </w:p>
        </w:tc>
        <w:tc>
          <w:tcPr>
            <w:tcW w:w="2199" w:type="dxa"/>
            <w:gridSpan w:val="2"/>
          </w:tcPr>
          <w:p w14:paraId="2ECD115B" w14:textId="67DB3C3D" w:rsidR="00AF4890" w:rsidRPr="009C3AC7" w:rsidRDefault="00FD770F" w:rsidP="00A2655E">
            <w:pPr>
              <w:rPr>
                <w:rFonts w:ascii="Times New Roman" w:hAnsi="Times New Roman" w:cs="Times New Roman"/>
              </w:rPr>
            </w:pPr>
            <w:r w:rsidRPr="009C3AC7">
              <w:rPr>
                <w:rFonts w:ascii="Times New Roman" w:hAnsi="Times New Roman" w:cs="Times New Roman"/>
              </w:rPr>
              <w:t>29</w:t>
            </w:r>
          </w:p>
        </w:tc>
        <w:tc>
          <w:tcPr>
            <w:tcW w:w="1777" w:type="dxa"/>
            <w:gridSpan w:val="2"/>
          </w:tcPr>
          <w:p w14:paraId="0C1F9DD6" w14:textId="65173B06" w:rsidR="00AF4890" w:rsidRPr="009C3AC7" w:rsidRDefault="00FD770F" w:rsidP="00A2655E">
            <w:pPr>
              <w:rPr>
                <w:rFonts w:ascii="Times New Roman" w:hAnsi="Times New Roman" w:cs="Times New Roman"/>
              </w:rPr>
            </w:pPr>
            <w:r w:rsidRPr="009C3AC7">
              <w:rPr>
                <w:rFonts w:ascii="Times New Roman" w:hAnsi="Times New Roman" w:cs="Times New Roman"/>
              </w:rPr>
              <w:t>3</w:t>
            </w:r>
          </w:p>
        </w:tc>
        <w:tc>
          <w:tcPr>
            <w:tcW w:w="1637" w:type="dxa"/>
          </w:tcPr>
          <w:p w14:paraId="33F6E30D" w14:textId="70729BB9" w:rsidR="00AF4890" w:rsidRPr="009C3AC7" w:rsidRDefault="00FD770F" w:rsidP="00A2655E">
            <w:pPr>
              <w:rPr>
                <w:rFonts w:ascii="Times New Roman" w:hAnsi="Times New Roman" w:cs="Times New Roman"/>
              </w:rPr>
            </w:pPr>
            <w:r w:rsidRPr="009C3AC7">
              <w:rPr>
                <w:rFonts w:ascii="Times New Roman" w:hAnsi="Times New Roman" w:cs="Times New Roman"/>
              </w:rPr>
              <w:t>10,34</w:t>
            </w:r>
            <w:r w:rsidR="00AF4890" w:rsidRPr="009C3AC7">
              <w:rPr>
                <w:rFonts w:ascii="Times New Roman" w:hAnsi="Times New Roman" w:cs="Times New Roman"/>
              </w:rPr>
              <w:t xml:space="preserve"> %</w:t>
            </w:r>
          </w:p>
        </w:tc>
      </w:tr>
      <w:tr w:rsidR="00AF4890" w:rsidRPr="009C3AC7" w14:paraId="58221B10" w14:textId="77777777" w:rsidTr="00427F03">
        <w:tc>
          <w:tcPr>
            <w:tcW w:w="10090" w:type="dxa"/>
            <w:gridSpan w:val="9"/>
          </w:tcPr>
          <w:p w14:paraId="0D1ACC73" w14:textId="77777777" w:rsidR="00AF4890" w:rsidRPr="009C3AC7" w:rsidRDefault="00AF4890" w:rsidP="00A2655E">
            <w:pPr>
              <w:rPr>
                <w:rFonts w:ascii="Times New Roman" w:hAnsi="Times New Roman" w:cs="Times New Roman"/>
                <w:sz w:val="20"/>
                <w:szCs w:val="20"/>
              </w:rPr>
            </w:pPr>
            <w:r w:rsidRPr="009C3AC7">
              <w:rPr>
                <w:rFonts w:ascii="Times New Roman" w:hAnsi="Times New Roman" w:cs="Times New Roman"/>
                <w:color w:val="000000"/>
                <w:sz w:val="20"/>
                <w:szCs w:val="20"/>
              </w:rPr>
              <w:t>*reikšmė apskaičiuojama atsižvelgiant į ataskaitiniu laikotarpiu išrašytų kompensuojamųjų siauro veikimo spektro antimikrobinių vaistų (fenoksimetilpenicilino) receptų prirašytiems prie 0–7 metų vaikams dalį, palyginti su visais kompensuojamųjų antimikrobinių vaistų receptais, išrašytais prie šios įstaigos prirašytiems 0–7 metų vaikams.</w:t>
            </w:r>
          </w:p>
        </w:tc>
      </w:tr>
      <w:tr w:rsidR="00AF4890" w:rsidRPr="009C3AC7" w14:paraId="072A5230" w14:textId="77777777" w:rsidTr="00427F03">
        <w:trPr>
          <w:gridAfter w:val="1"/>
          <w:wAfter w:w="15" w:type="dxa"/>
        </w:trPr>
        <w:tc>
          <w:tcPr>
            <w:tcW w:w="2536" w:type="dxa"/>
          </w:tcPr>
          <w:p w14:paraId="2F751300" w14:textId="77777777" w:rsidR="00AF4890" w:rsidRPr="009C3AC7" w:rsidRDefault="00AF4890" w:rsidP="00A2655E">
            <w:pPr>
              <w:rPr>
                <w:rFonts w:ascii="Times New Roman" w:hAnsi="Times New Roman" w:cs="Times New Roman"/>
              </w:rPr>
            </w:pPr>
            <w:r w:rsidRPr="009C3AC7">
              <w:rPr>
                <w:rFonts w:ascii="Times New Roman" w:hAnsi="Times New Roman" w:cs="Times New Roman"/>
              </w:rPr>
              <w:t>Storosios žarnos vėžio ankstyvosios diagnostikos finansavimo programos vykdymas</w:t>
            </w:r>
          </w:p>
        </w:tc>
        <w:tc>
          <w:tcPr>
            <w:tcW w:w="1926" w:type="dxa"/>
            <w:gridSpan w:val="2"/>
          </w:tcPr>
          <w:p w14:paraId="3966A6D7" w14:textId="65264DEF" w:rsidR="00AF4890" w:rsidRPr="009C3AC7" w:rsidRDefault="00FD770F" w:rsidP="00A2655E">
            <w:pPr>
              <w:rPr>
                <w:rFonts w:ascii="Times New Roman" w:hAnsi="Times New Roman" w:cs="Times New Roman"/>
              </w:rPr>
            </w:pPr>
            <w:r w:rsidRPr="009C3AC7">
              <w:rPr>
                <w:rFonts w:ascii="Times New Roman" w:hAnsi="Times New Roman" w:cs="Times New Roman"/>
              </w:rPr>
              <w:t>35,41</w:t>
            </w:r>
            <w:r w:rsidR="00AF4890" w:rsidRPr="009C3AC7">
              <w:rPr>
                <w:rFonts w:ascii="Times New Roman" w:hAnsi="Times New Roman" w:cs="Times New Roman"/>
              </w:rPr>
              <w:t xml:space="preserve"> %</w:t>
            </w:r>
          </w:p>
        </w:tc>
        <w:tc>
          <w:tcPr>
            <w:tcW w:w="2199" w:type="dxa"/>
            <w:gridSpan w:val="2"/>
          </w:tcPr>
          <w:p w14:paraId="321B56A8" w14:textId="5A79FCBD" w:rsidR="00AF4890" w:rsidRPr="009C3AC7" w:rsidRDefault="00AF4890" w:rsidP="00A2655E">
            <w:pPr>
              <w:rPr>
                <w:rFonts w:ascii="Times New Roman" w:hAnsi="Times New Roman" w:cs="Times New Roman"/>
              </w:rPr>
            </w:pPr>
            <w:r w:rsidRPr="009C3AC7">
              <w:rPr>
                <w:rFonts w:ascii="Times New Roman" w:hAnsi="Times New Roman" w:cs="Times New Roman"/>
              </w:rPr>
              <w:t>80</w:t>
            </w:r>
            <w:r w:rsidR="00FD770F" w:rsidRPr="009C3AC7">
              <w:rPr>
                <w:rFonts w:ascii="Times New Roman" w:hAnsi="Times New Roman" w:cs="Times New Roman"/>
              </w:rPr>
              <w:t>7</w:t>
            </w:r>
          </w:p>
        </w:tc>
        <w:tc>
          <w:tcPr>
            <w:tcW w:w="1777" w:type="dxa"/>
            <w:gridSpan w:val="2"/>
          </w:tcPr>
          <w:p w14:paraId="5DD8289F" w14:textId="40A056B9" w:rsidR="00AF4890" w:rsidRPr="009C3AC7" w:rsidRDefault="00AF4890" w:rsidP="00A2655E">
            <w:pPr>
              <w:rPr>
                <w:rFonts w:ascii="Times New Roman" w:hAnsi="Times New Roman" w:cs="Times New Roman"/>
              </w:rPr>
            </w:pPr>
            <w:r w:rsidRPr="009C3AC7">
              <w:rPr>
                <w:rFonts w:ascii="Times New Roman" w:hAnsi="Times New Roman" w:cs="Times New Roman"/>
              </w:rPr>
              <w:t>4</w:t>
            </w:r>
            <w:r w:rsidR="00FD770F" w:rsidRPr="009C3AC7">
              <w:rPr>
                <w:rFonts w:ascii="Times New Roman" w:hAnsi="Times New Roman" w:cs="Times New Roman"/>
              </w:rPr>
              <w:t>69</w:t>
            </w:r>
          </w:p>
        </w:tc>
        <w:tc>
          <w:tcPr>
            <w:tcW w:w="1637" w:type="dxa"/>
          </w:tcPr>
          <w:p w14:paraId="489B4170" w14:textId="68CC15D5" w:rsidR="00AF4890" w:rsidRPr="009C3AC7" w:rsidRDefault="00FD770F" w:rsidP="00A2655E">
            <w:pPr>
              <w:rPr>
                <w:rFonts w:ascii="Times New Roman" w:hAnsi="Times New Roman" w:cs="Times New Roman"/>
              </w:rPr>
            </w:pPr>
            <w:r w:rsidRPr="009C3AC7">
              <w:rPr>
                <w:rFonts w:ascii="Times New Roman" w:hAnsi="Times New Roman" w:cs="Times New Roman"/>
              </w:rPr>
              <w:t>58,12</w:t>
            </w:r>
            <w:r w:rsidR="00AF4890" w:rsidRPr="009C3AC7">
              <w:rPr>
                <w:rFonts w:ascii="Times New Roman" w:hAnsi="Times New Roman" w:cs="Times New Roman"/>
              </w:rPr>
              <w:t xml:space="preserve"> %</w:t>
            </w:r>
          </w:p>
        </w:tc>
      </w:tr>
      <w:tr w:rsidR="00AF4890" w:rsidRPr="009C3AC7" w14:paraId="721D17A4" w14:textId="77777777" w:rsidTr="00427F03">
        <w:tc>
          <w:tcPr>
            <w:tcW w:w="10090" w:type="dxa"/>
            <w:gridSpan w:val="9"/>
          </w:tcPr>
          <w:p w14:paraId="7D9FAF82" w14:textId="77777777" w:rsidR="00AF4890" w:rsidRPr="009C3AC7" w:rsidRDefault="00AF4890" w:rsidP="00A2655E">
            <w:pPr>
              <w:rPr>
                <w:rFonts w:ascii="Times New Roman" w:hAnsi="Times New Roman" w:cs="Times New Roman"/>
                <w:sz w:val="20"/>
                <w:szCs w:val="20"/>
              </w:rPr>
            </w:pPr>
            <w:r w:rsidRPr="009C3AC7">
              <w:rPr>
                <w:rFonts w:ascii="Times New Roman" w:hAnsi="Times New Roman" w:cs="Times New Roman"/>
                <w:color w:val="000000"/>
                <w:sz w:val="20"/>
                <w:szCs w:val="20"/>
              </w:rPr>
              <w:t>*reikšmė apskaičiuojama atsižvelgiant į prirašytų prie įstaigos gyventojų, kuriems buvo suteikta informavimo apie storosios žarnos vėžio ankstyvąją diagnostiką ir imunocheminio slapto kraujavimo testo išmatose (toliau – iFOBT) rezultatų įvertinimo paslauga per SŽV programoje numatytą laikotarpį, dalį, palyginti su bendru prirašytų prie šios įstaigos gyventojų, pagal amžių turinčių teisę gauti šioje programoje numatytas paslaugas, skaičiumi.</w:t>
            </w:r>
          </w:p>
        </w:tc>
      </w:tr>
      <w:tr w:rsidR="00AF4890" w:rsidRPr="009C3AC7" w14:paraId="0FAB1A52" w14:textId="77777777" w:rsidTr="00427F03">
        <w:trPr>
          <w:gridAfter w:val="1"/>
          <w:wAfter w:w="15" w:type="dxa"/>
        </w:trPr>
        <w:tc>
          <w:tcPr>
            <w:tcW w:w="2536" w:type="dxa"/>
          </w:tcPr>
          <w:p w14:paraId="3AC4D146" w14:textId="77777777" w:rsidR="00AF4890" w:rsidRPr="009C3AC7" w:rsidRDefault="00AF4890" w:rsidP="00A2655E">
            <w:pPr>
              <w:rPr>
                <w:rFonts w:ascii="Times New Roman" w:hAnsi="Times New Roman" w:cs="Times New Roman"/>
              </w:rPr>
            </w:pPr>
            <w:r w:rsidRPr="009C3AC7">
              <w:rPr>
                <w:rFonts w:ascii="Times New Roman" w:hAnsi="Times New Roman" w:cs="Times New Roman"/>
              </w:rPr>
              <w:t>Vyresnių nei 65 metų asmenų skiepijimas gripo vakcina</w:t>
            </w:r>
            <w:r w:rsidRPr="009C3AC7">
              <w:rPr>
                <w:rFonts w:ascii="Times New Roman" w:hAnsi="Times New Roman" w:cs="Times New Roman"/>
              </w:rPr>
              <w:tab/>
            </w:r>
          </w:p>
        </w:tc>
        <w:tc>
          <w:tcPr>
            <w:tcW w:w="1926" w:type="dxa"/>
            <w:gridSpan w:val="2"/>
          </w:tcPr>
          <w:p w14:paraId="2B9D32AA" w14:textId="229573F8" w:rsidR="00AF4890" w:rsidRPr="009C3AC7" w:rsidRDefault="00FD770F" w:rsidP="00A2655E">
            <w:pPr>
              <w:rPr>
                <w:rFonts w:ascii="Times New Roman" w:hAnsi="Times New Roman" w:cs="Times New Roman"/>
              </w:rPr>
            </w:pPr>
            <w:r w:rsidRPr="009C3AC7">
              <w:rPr>
                <w:rFonts w:ascii="Times New Roman" w:hAnsi="Times New Roman" w:cs="Times New Roman"/>
              </w:rPr>
              <w:t>17,03</w:t>
            </w:r>
            <w:r w:rsidR="00AF4890" w:rsidRPr="009C3AC7">
              <w:rPr>
                <w:rFonts w:ascii="Times New Roman" w:hAnsi="Times New Roman" w:cs="Times New Roman"/>
              </w:rPr>
              <w:t xml:space="preserve"> %</w:t>
            </w:r>
          </w:p>
        </w:tc>
        <w:tc>
          <w:tcPr>
            <w:tcW w:w="2199" w:type="dxa"/>
            <w:gridSpan w:val="2"/>
          </w:tcPr>
          <w:p w14:paraId="48AD5B21" w14:textId="043BC0ED" w:rsidR="00AF4890" w:rsidRPr="009C3AC7" w:rsidRDefault="00AF4890" w:rsidP="00A2655E">
            <w:pPr>
              <w:rPr>
                <w:rFonts w:ascii="Times New Roman" w:hAnsi="Times New Roman" w:cs="Times New Roman"/>
              </w:rPr>
            </w:pPr>
            <w:r w:rsidRPr="009C3AC7">
              <w:rPr>
                <w:rFonts w:ascii="Times New Roman" w:hAnsi="Times New Roman" w:cs="Times New Roman"/>
              </w:rPr>
              <w:t>4</w:t>
            </w:r>
            <w:r w:rsidR="00FD770F" w:rsidRPr="009C3AC7">
              <w:rPr>
                <w:rFonts w:ascii="Times New Roman" w:hAnsi="Times New Roman" w:cs="Times New Roman"/>
              </w:rPr>
              <w:t>61</w:t>
            </w:r>
          </w:p>
        </w:tc>
        <w:tc>
          <w:tcPr>
            <w:tcW w:w="1777" w:type="dxa"/>
            <w:gridSpan w:val="2"/>
          </w:tcPr>
          <w:p w14:paraId="3D8DE3BF" w14:textId="701F249F" w:rsidR="00AF4890" w:rsidRPr="009C3AC7" w:rsidRDefault="00AF4890" w:rsidP="00A2655E">
            <w:pPr>
              <w:rPr>
                <w:rFonts w:ascii="Times New Roman" w:hAnsi="Times New Roman" w:cs="Times New Roman"/>
              </w:rPr>
            </w:pPr>
            <w:r w:rsidRPr="009C3AC7">
              <w:rPr>
                <w:rFonts w:ascii="Times New Roman" w:hAnsi="Times New Roman" w:cs="Times New Roman"/>
              </w:rPr>
              <w:t>1</w:t>
            </w:r>
            <w:r w:rsidR="00FD770F" w:rsidRPr="009C3AC7">
              <w:rPr>
                <w:rFonts w:ascii="Times New Roman" w:hAnsi="Times New Roman" w:cs="Times New Roman"/>
              </w:rPr>
              <w:t>09</w:t>
            </w:r>
          </w:p>
        </w:tc>
        <w:tc>
          <w:tcPr>
            <w:tcW w:w="1637" w:type="dxa"/>
          </w:tcPr>
          <w:p w14:paraId="0766D94D" w14:textId="1AC26C8B" w:rsidR="00AF4890" w:rsidRPr="009C3AC7" w:rsidRDefault="00FD770F" w:rsidP="00A2655E">
            <w:pPr>
              <w:rPr>
                <w:rFonts w:ascii="Times New Roman" w:hAnsi="Times New Roman" w:cs="Times New Roman"/>
              </w:rPr>
            </w:pPr>
            <w:r w:rsidRPr="009C3AC7">
              <w:rPr>
                <w:rFonts w:ascii="Times New Roman" w:hAnsi="Times New Roman" w:cs="Times New Roman"/>
              </w:rPr>
              <w:t>23,64</w:t>
            </w:r>
            <w:r w:rsidR="00AF4890" w:rsidRPr="009C3AC7">
              <w:rPr>
                <w:rFonts w:ascii="Times New Roman" w:hAnsi="Times New Roman" w:cs="Times New Roman"/>
              </w:rPr>
              <w:t xml:space="preserve"> %</w:t>
            </w:r>
          </w:p>
        </w:tc>
      </w:tr>
      <w:tr w:rsidR="00AF4890" w:rsidRPr="009C3AC7" w14:paraId="2D735EB0" w14:textId="77777777" w:rsidTr="00427F03">
        <w:tc>
          <w:tcPr>
            <w:tcW w:w="10090" w:type="dxa"/>
            <w:gridSpan w:val="9"/>
          </w:tcPr>
          <w:p w14:paraId="321D69DF" w14:textId="77777777" w:rsidR="00AF4890" w:rsidRPr="009C3AC7" w:rsidRDefault="00AF4890" w:rsidP="00A2655E">
            <w:pPr>
              <w:rPr>
                <w:rFonts w:ascii="Times New Roman" w:hAnsi="Times New Roman" w:cs="Times New Roman"/>
                <w:sz w:val="20"/>
                <w:szCs w:val="20"/>
              </w:rPr>
            </w:pPr>
            <w:r w:rsidRPr="009C3AC7">
              <w:rPr>
                <w:rFonts w:ascii="Times New Roman" w:hAnsi="Times New Roman" w:cs="Times New Roman"/>
                <w:color w:val="000000"/>
                <w:sz w:val="20"/>
                <w:szCs w:val="20"/>
              </w:rPr>
              <w:lastRenderedPageBreak/>
              <w:t>*reikšmė apskaičiuojama atsižvelgiant į prirašytų prie įstaigos gyventojų nuo 65 metų, kurie per ataskaitinį laikotarpį buvo paskiepyti gripo vakcina, dalį, palyginti su bendru prirašytų prie šios įstaigos gyventojų nuo 65 metų skaičiumi. </w:t>
            </w:r>
          </w:p>
        </w:tc>
      </w:tr>
      <w:tr w:rsidR="00AF4890" w:rsidRPr="009C3AC7" w14:paraId="754D6742" w14:textId="77777777" w:rsidTr="00427F03">
        <w:trPr>
          <w:gridAfter w:val="1"/>
          <w:wAfter w:w="15" w:type="dxa"/>
        </w:trPr>
        <w:tc>
          <w:tcPr>
            <w:tcW w:w="2536" w:type="dxa"/>
          </w:tcPr>
          <w:p w14:paraId="3E045523" w14:textId="77777777" w:rsidR="00AF4890" w:rsidRPr="009C3AC7" w:rsidRDefault="00AF4890" w:rsidP="00A2655E">
            <w:pPr>
              <w:rPr>
                <w:rFonts w:ascii="Times New Roman" w:hAnsi="Times New Roman" w:cs="Times New Roman"/>
              </w:rPr>
            </w:pPr>
            <w:r w:rsidRPr="009C3AC7">
              <w:rPr>
                <w:rFonts w:ascii="Times New Roman" w:hAnsi="Times New Roman" w:cs="Times New Roman"/>
              </w:rPr>
              <w:t>Sergančiųjų pneumonija hospitalizacijos intensyvumas</w:t>
            </w:r>
          </w:p>
        </w:tc>
        <w:tc>
          <w:tcPr>
            <w:tcW w:w="1926" w:type="dxa"/>
            <w:gridSpan w:val="2"/>
          </w:tcPr>
          <w:p w14:paraId="4742F954" w14:textId="30C3178B" w:rsidR="00AF4890" w:rsidRPr="009C3AC7" w:rsidRDefault="00AA18FD" w:rsidP="00A2655E">
            <w:pPr>
              <w:rPr>
                <w:rFonts w:ascii="Times New Roman" w:hAnsi="Times New Roman" w:cs="Times New Roman"/>
              </w:rPr>
            </w:pPr>
            <w:r w:rsidRPr="009C3AC7">
              <w:rPr>
                <w:rFonts w:ascii="Times New Roman" w:hAnsi="Times New Roman" w:cs="Times New Roman"/>
              </w:rPr>
              <w:t>14,28</w:t>
            </w:r>
            <w:r w:rsidR="00AF4890" w:rsidRPr="009C3AC7">
              <w:rPr>
                <w:rFonts w:ascii="Times New Roman" w:hAnsi="Times New Roman" w:cs="Times New Roman"/>
              </w:rPr>
              <w:t xml:space="preserve"> %</w:t>
            </w:r>
          </w:p>
        </w:tc>
        <w:tc>
          <w:tcPr>
            <w:tcW w:w="2199" w:type="dxa"/>
            <w:gridSpan w:val="2"/>
          </w:tcPr>
          <w:p w14:paraId="6F63EEA5" w14:textId="1FF24951" w:rsidR="00AF4890" w:rsidRPr="009C3AC7" w:rsidRDefault="00AA18FD" w:rsidP="00A2655E">
            <w:pPr>
              <w:rPr>
                <w:rFonts w:ascii="Times New Roman" w:hAnsi="Times New Roman" w:cs="Times New Roman"/>
              </w:rPr>
            </w:pPr>
            <w:r w:rsidRPr="009C3AC7">
              <w:rPr>
                <w:rFonts w:ascii="Times New Roman" w:hAnsi="Times New Roman" w:cs="Times New Roman"/>
              </w:rPr>
              <w:t>25</w:t>
            </w:r>
          </w:p>
        </w:tc>
        <w:tc>
          <w:tcPr>
            <w:tcW w:w="1777" w:type="dxa"/>
            <w:gridSpan w:val="2"/>
          </w:tcPr>
          <w:p w14:paraId="67C715B1" w14:textId="77777777" w:rsidR="00AF4890" w:rsidRPr="009C3AC7" w:rsidRDefault="00AF4890" w:rsidP="00A2655E">
            <w:pPr>
              <w:rPr>
                <w:rFonts w:ascii="Times New Roman" w:hAnsi="Times New Roman" w:cs="Times New Roman"/>
              </w:rPr>
            </w:pPr>
            <w:r w:rsidRPr="009C3AC7">
              <w:rPr>
                <w:rFonts w:ascii="Times New Roman" w:hAnsi="Times New Roman" w:cs="Times New Roman"/>
              </w:rPr>
              <w:t>3</w:t>
            </w:r>
          </w:p>
        </w:tc>
        <w:tc>
          <w:tcPr>
            <w:tcW w:w="1637" w:type="dxa"/>
          </w:tcPr>
          <w:p w14:paraId="5B981AEA" w14:textId="71945B8B" w:rsidR="00AF4890" w:rsidRPr="009C3AC7" w:rsidRDefault="00AA18FD" w:rsidP="00A2655E">
            <w:pPr>
              <w:rPr>
                <w:rFonts w:ascii="Times New Roman" w:hAnsi="Times New Roman" w:cs="Times New Roman"/>
              </w:rPr>
            </w:pPr>
            <w:r w:rsidRPr="009C3AC7">
              <w:rPr>
                <w:rFonts w:ascii="Times New Roman" w:hAnsi="Times New Roman" w:cs="Times New Roman"/>
              </w:rPr>
              <w:t>12,00</w:t>
            </w:r>
            <w:r w:rsidR="00AF4890" w:rsidRPr="009C3AC7">
              <w:rPr>
                <w:rFonts w:ascii="Times New Roman" w:hAnsi="Times New Roman" w:cs="Times New Roman"/>
              </w:rPr>
              <w:t xml:space="preserve"> %</w:t>
            </w:r>
          </w:p>
        </w:tc>
      </w:tr>
      <w:tr w:rsidR="00AF4890" w:rsidRPr="009C3AC7" w14:paraId="70412721" w14:textId="77777777" w:rsidTr="00427F03">
        <w:tc>
          <w:tcPr>
            <w:tcW w:w="10090" w:type="dxa"/>
            <w:gridSpan w:val="9"/>
          </w:tcPr>
          <w:p w14:paraId="357F5087" w14:textId="77777777" w:rsidR="00AF4890" w:rsidRPr="009C3AC7" w:rsidRDefault="00AF4890" w:rsidP="00A2655E">
            <w:pPr>
              <w:rPr>
                <w:rFonts w:ascii="Times New Roman" w:hAnsi="Times New Roman" w:cs="Times New Roman"/>
                <w:sz w:val="20"/>
                <w:szCs w:val="20"/>
              </w:rPr>
            </w:pPr>
            <w:r w:rsidRPr="009C3AC7">
              <w:rPr>
                <w:rFonts w:ascii="Times New Roman" w:hAnsi="Times New Roman" w:cs="Times New Roman"/>
                <w:sz w:val="20"/>
                <w:szCs w:val="20"/>
              </w:rPr>
              <w:t>*</w:t>
            </w:r>
            <w:r w:rsidRPr="009C3AC7">
              <w:rPr>
                <w:rFonts w:ascii="Times New Roman" w:hAnsi="Times New Roman" w:cs="Times New Roman"/>
                <w:color w:val="000000"/>
                <w:sz w:val="20"/>
                <w:szCs w:val="20"/>
              </w:rPr>
              <w:t>reikšmė apskaičiuojama atsižvelgiant į ataskaitinio laikotarpio hospitalizavimo dėl atitinkamos ligos atvejų, tenkančių konkrečiai PAASP įstaigai, dalį, palyginti su bendru prirašytų prie šios įstaigos asmenų, kuriems diagnozuota atitinkama liga.</w:t>
            </w:r>
          </w:p>
        </w:tc>
      </w:tr>
      <w:tr w:rsidR="00427F03" w:rsidRPr="009C3AC7" w14:paraId="63D0F91B" w14:textId="77777777" w:rsidTr="00427F03">
        <w:tc>
          <w:tcPr>
            <w:tcW w:w="2547" w:type="dxa"/>
            <w:gridSpan w:val="2"/>
          </w:tcPr>
          <w:p w14:paraId="57C9BFE8" w14:textId="5E55EFCD" w:rsidR="00427F03" w:rsidRPr="00427F03" w:rsidRDefault="00427F03" w:rsidP="00A2655E">
            <w:pPr>
              <w:rPr>
                <w:rFonts w:ascii="Times New Roman" w:hAnsi="Times New Roman" w:cs="Times New Roman"/>
              </w:rPr>
            </w:pPr>
            <w:r w:rsidRPr="00427F03">
              <w:rPr>
                <w:rFonts w:ascii="Times New Roman" w:hAnsi="Times New Roman" w:cs="Times New Roman"/>
              </w:rPr>
              <w:t>Vaikų dantų profilaktinių tikrinimų intensyvumas</w:t>
            </w:r>
          </w:p>
        </w:tc>
        <w:tc>
          <w:tcPr>
            <w:tcW w:w="1984" w:type="dxa"/>
            <w:gridSpan w:val="2"/>
          </w:tcPr>
          <w:p w14:paraId="71D40563" w14:textId="364C99DA" w:rsidR="00427F03" w:rsidRPr="00427F03" w:rsidRDefault="00427F03" w:rsidP="00A2655E">
            <w:pPr>
              <w:rPr>
                <w:rFonts w:ascii="Times New Roman" w:hAnsi="Times New Roman" w:cs="Times New Roman"/>
                <w:lang w:val="en-US"/>
              </w:rPr>
            </w:pPr>
            <w:r w:rsidRPr="00427F03">
              <w:rPr>
                <w:rFonts w:ascii="Times New Roman" w:hAnsi="Times New Roman" w:cs="Times New Roman"/>
              </w:rPr>
              <w:t xml:space="preserve">39,07 </w:t>
            </w:r>
            <w:r w:rsidRPr="00427F03">
              <w:rPr>
                <w:rFonts w:ascii="Times New Roman" w:hAnsi="Times New Roman" w:cs="Times New Roman"/>
                <w:lang w:val="en-US"/>
              </w:rPr>
              <w:t>%</w:t>
            </w:r>
          </w:p>
        </w:tc>
        <w:tc>
          <w:tcPr>
            <w:tcW w:w="2130" w:type="dxa"/>
          </w:tcPr>
          <w:p w14:paraId="6DDFAC8F" w14:textId="6672E24E" w:rsidR="00427F03" w:rsidRPr="00427F03" w:rsidRDefault="00427F03" w:rsidP="00A2655E">
            <w:pPr>
              <w:rPr>
                <w:rFonts w:ascii="Times New Roman" w:hAnsi="Times New Roman" w:cs="Times New Roman"/>
              </w:rPr>
            </w:pPr>
            <w:r w:rsidRPr="00427F03">
              <w:rPr>
                <w:rFonts w:ascii="Times New Roman" w:hAnsi="Times New Roman" w:cs="Times New Roman"/>
              </w:rPr>
              <w:t>254</w:t>
            </w:r>
          </w:p>
        </w:tc>
        <w:tc>
          <w:tcPr>
            <w:tcW w:w="1698" w:type="dxa"/>
          </w:tcPr>
          <w:p w14:paraId="38EBE50F" w14:textId="353370A7" w:rsidR="00427F03" w:rsidRPr="00427F03" w:rsidRDefault="00427F03" w:rsidP="00A2655E">
            <w:pPr>
              <w:rPr>
                <w:rFonts w:ascii="Times New Roman" w:hAnsi="Times New Roman" w:cs="Times New Roman"/>
              </w:rPr>
            </w:pPr>
            <w:r w:rsidRPr="00427F03">
              <w:rPr>
                <w:rFonts w:ascii="Times New Roman" w:hAnsi="Times New Roman" w:cs="Times New Roman"/>
              </w:rPr>
              <w:t>141</w:t>
            </w:r>
          </w:p>
        </w:tc>
        <w:tc>
          <w:tcPr>
            <w:tcW w:w="1731" w:type="dxa"/>
            <w:gridSpan w:val="3"/>
          </w:tcPr>
          <w:p w14:paraId="0E6C1792" w14:textId="756DFADC" w:rsidR="00427F03" w:rsidRPr="00427F03" w:rsidRDefault="00427F03" w:rsidP="00A2655E">
            <w:pPr>
              <w:rPr>
                <w:rFonts w:ascii="Times New Roman" w:hAnsi="Times New Roman" w:cs="Times New Roman"/>
              </w:rPr>
            </w:pPr>
            <w:r w:rsidRPr="00427F03">
              <w:rPr>
                <w:rFonts w:ascii="Times New Roman" w:hAnsi="Times New Roman" w:cs="Times New Roman"/>
              </w:rPr>
              <w:t>55,51</w:t>
            </w:r>
            <w:r w:rsidRPr="00427F03">
              <w:rPr>
                <w:rFonts w:ascii="Times New Roman" w:hAnsi="Times New Roman" w:cs="Times New Roman"/>
                <w:lang w:val="en-US"/>
              </w:rPr>
              <w:t>%</w:t>
            </w:r>
          </w:p>
        </w:tc>
      </w:tr>
      <w:tr w:rsidR="00427F03" w:rsidRPr="009C3AC7" w14:paraId="12A19F6A" w14:textId="77777777" w:rsidTr="00427F03">
        <w:tc>
          <w:tcPr>
            <w:tcW w:w="10090" w:type="dxa"/>
            <w:gridSpan w:val="9"/>
          </w:tcPr>
          <w:p w14:paraId="11F22C7E" w14:textId="1A1DFB1B" w:rsidR="00427F03" w:rsidRPr="009C3AC7" w:rsidRDefault="00CC1BF1" w:rsidP="00A2655E">
            <w:pPr>
              <w:rPr>
                <w:sz w:val="20"/>
                <w:szCs w:val="20"/>
              </w:rPr>
            </w:pPr>
            <w:r>
              <w:rPr>
                <w:sz w:val="20"/>
                <w:szCs w:val="20"/>
              </w:rPr>
              <w:t>*</w:t>
            </w:r>
            <w:r>
              <w:t xml:space="preserve"> </w:t>
            </w:r>
            <w:r w:rsidRPr="00CC1BF1">
              <w:rPr>
                <w:rFonts w:ascii="Times New Roman" w:hAnsi="Times New Roman" w:cs="Times New Roman"/>
                <w:sz w:val="20"/>
                <w:szCs w:val="20"/>
              </w:rPr>
              <w:t>reikšmė apskaičiuojama</w:t>
            </w:r>
            <w:r w:rsidRPr="00CC1BF1">
              <w:rPr>
                <w:sz w:val="20"/>
                <w:szCs w:val="20"/>
              </w:rPr>
              <w:t xml:space="preserve">, </w:t>
            </w:r>
            <w:r>
              <w:rPr>
                <w:sz w:val="20"/>
                <w:szCs w:val="20"/>
              </w:rPr>
              <w:t xml:space="preserve">atsižvelgiant </w:t>
            </w:r>
            <w:r w:rsidRPr="00CC1BF1">
              <w:rPr>
                <w:sz w:val="20"/>
                <w:szCs w:val="20"/>
              </w:rPr>
              <w:t>kokią prisirašiusių prie PAASP įstaigos asmenų iki 18 metų dalį sudaro asmenys, kuriems ataskaitiniu laikotarpiu (kalendoriniais metais) buvo suteikta bent viena profilaktinio tikrinimo paslauga</w:t>
            </w:r>
          </w:p>
        </w:tc>
      </w:tr>
    </w:tbl>
    <w:p w14:paraId="6C13C509" w14:textId="25710309" w:rsidR="00AF4890" w:rsidRPr="009C3AC7" w:rsidRDefault="00AF4890" w:rsidP="00AF4890">
      <w:pPr>
        <w:tabs>
          <w:tab w:val="left" w:pos="567"/>
        </w:tabs>
        <w:jc w:val="both"/>
      </w:pPr>
      <w:r w:rsidRPr="009C3AC7">
        <w:tab/>
        <w:t>Reikšmės apskaičiuojamos vadovaujantis Lietuvos Respublikos sveikatos apsaugos ministro 2005</w:t>
      </w:r>
      <w:r w:rsidR="0015642A">
        <w:t> </w:t>
      </w:r>
      <w:r w:rsidRPr="009C3AC7">
        <w:t>m. gruodžio 5 d. įsakymu Nr. V-943 „Dėl Pirminės ambulatorinės asmens sveikatos priežiūros paslaugų teikimo organizavimo ir šių paslaugų išlaidų apmokėjimo tvarkos aprašo tvirtinimo“</w:t>
      </w:r>
      <w:r w:rsidR="0015642A">
        <w:t>.</w:t>
      </w:r>
    </w:p>
    <w:p w14:paraId="16350DCC" w14:textId="2ADC441F" w:rsidR="00CC1BF1" w:rsidRDefault="00CC1BF1" w:rsidP="00AA18FD">
      <w:pPr>
        <w:jc w:val="center"/>
        <w:rPr>
          <w:b/>
        </w:rPr>
      </w:pPr>
    </w:p>
    <w:p w14:paraId="5F2E168D" w14:textId="77777777" w:rsidR="00651F5D" w:rsidRDefault="00651F5D" w:rsidP="00AA18FD">
      <w:pPr>
        <w:jc w:val="center"/>
        <w:rPr>
          <w:b/>
        </w:rPr>
      </w:pPr>
    </w:p>
    <w:p w14:paraId="366F8996" w14:textId="57C75C84" w:rsidR="001B489C" w:rsidRPr="009C3AC7" w:rsidRDefault="001B489C" w:rsidP="00AA18FD">
      <w:pPr>
        <w:jc w:val="center"/>
        <w:rPr>
          <w:b/>
        </w:rPr>
      </w:pPr>
      <w:r w:rsidRPr="009C3AC7">
        <w:rPr>
          <w:b/>
        </w:rPr>
        <w:t>Gydytojų konsultacinės komisijos veikla</w:t>
      </w:r>
    </w:p>
    <w:p w14:paraId="6FFE223F" w14:textId="32FF2808" w:rsidR="001B489C" w:rsidRPr="009C3AC7" w:rsidRDefault="001B489C" w:rsidP="001B489C">
      <w:pPr>
        <w:ind w:firstLine="567"/>
        <w:jc w:val="center"/>
        <w:rPr>
          <w:b/>
        </w:rPr>
      </w:pPr>
    </w:p>
    <w:p w14:paraId="0F0E3E37" w14:textId="142452AC" w:rsidR="003A26B7" w:rsidRPr="009C3AC7" w:rsidRDefault="00E00A7C" w:rsidP="005C03F1">
      <w:pPr>
        <w:ind w:firstLine="567"/>
        <w:jc w:val="both"/>
      </w:pPr>
      <w:r w:rsidRPr="009C3AC7">
        <w:t xml:space="preserve">Iš viso apžiūrėti </w:t>
      </w:r>
      <w:r w:rsidR="00D63986" w:rsidRPr="009C3AC7">
        <w:t>54</w:t>
      </w:r>
      <w:r w:rsidR="001B489C" w:rsidRPr="009C3AC7">
        <w:t xml:space="preserve"> asmenys. Į Neįgalumo ir darbingumo nustatymo tarnybą nusiųsta </w:t>
      </w:r>
      <w:r w:rsidR="00D63986" w:rsidRPr="009C3AC7">
        <w:t>32</w:t>
      </w:r>
      <w:r w:rsidR="00BC0275" w:rsidRPr="009C3AC7">
        <w:t xml:space="preserve"> asmenys, iš jų – </w:t>
      </w:r>
      <w:r w:rsidR="00D63986" w:rsidRPr="009C3AC7">
        <w:t>11</w:t>
      </w:r>
      <w:r w:rsidR="001B489C" w:rsidRPr="009C3AC7">
        <w:t xml:space="preserve"> dėl specialiųjų poreikių nustatymo. Dėl užsitęsusio nedarbingumo SODROS gydytojo kvietimu apžiūrėti </w:t>
      </w:r>
      <w:r w:rsidR="00D63986" w:rsidRPr="009C3AC7">
        <w:t>11</w:t>
      </w:r>
      <w:r w:rsidR="001B489C" w:rsidRPr="009C3AC7">
        <w:t xml:space="preserve"> asmenys.</w:t>
      </w:r>
    </w:p>
    <w:p w14:paraId="5E05D219" w14:textId="7A826113" w:rsidR="002C1909" w:rsidRPr="009C3AC7" w:rsidRDefault="002C1909" w:rsidP="005C03F1">
      <w:pPr>
        <w:ind w:firstLine="567"/>
        <w:jc w:val="both"/>
      </w:pPr>
      <w:r w:rsidRPr="009C3AC7">
        <w:t xml:space="preserve">Medicininei reabilitacijai </w:t>
      </w:r>
      <w:r w:rsidR="00024BEC" w:rsidRPr="009C3AC7">
        <w:t xml:space="preserve">išduoti </w:t>
      </w:r>
      <w:r w:rsidR="00CD1F9F" w:rsidRPr="009C3AC7">
        <w:t>12</w:t>
      </w:r>
      <w:r w:rsidR="00024BEC" w:rsidRPr="009C3AC7">
        <w:t xml:space="preserve"> </w:t>
      </w:r>
      <w:r w:rsidR="005F5B23" w:rsidRPr="009C3AC7">
        <w:t>siuntimų.</w:t>
      </w:r>
    </w:p>
    <w:p w14:paraId="2E8F1E7B" w14:textId="06240F65" w:rsidR="00F734F0" w:rsidRDefault="00F734F0" w:rsidP="005C03F1">
      <w:pPr>
        <w:ind w:firstLine="567"/>
        <w:jc w:val="both"/>
      </w:pPr>
    </w:p>
    <w:p w14:paraId="306F45F2" w14:textId="77777777" w:rsidR="00651F5D" w:rsidRPr="009C3AC7" w:rsidRDefault="00651F5D" w:rsidP="005C03F1">
      <w:pPr>
        <w:ind w:firstLine="567"/>
        <w:jc w:val="both"/>
      </w:pPr>
    </w:p>
    <w:p w14:paraId="4185A072" w14:textId="4CEB3585" w:rsidR="00F734F0" w:rsidRPr="009C3AC7" w:rsidRDefault="00AF4890" w:rsidP="00F734F0">
      <w:pPr>
        <w:ind w:firstLine="572"/>
        <w:jc w:val="center"/>
        <w:rPr>
          <w:b/>
        </w:rPr>
      </w:pPr>
      <w:r w:rsidRPr="009C3AC7">
        <w:rPr>
          <w:b/>
        </w:rPr>
        <w:t>P</w:t>
      </w:r>
      <w:r w:rsidR="00F734F0" w:rsidRPr="009C3AC7">
        <w:rPr>
          <w:b/>
        </w:rPr>
        <w:t>alaikomojo gydymo</w:t>
      </w:r>
      <w:r w:rsidRPr="009C3AC7">
        <w:rPr>
          <w:b/>
        </w:rPr>
        <w:t xml:space="preserve"> ir slaugos</w:t>
      </w:r>
      <w:r w:rsidR="00F734F0" w:rsidRPr="009C3AC7">
        <w:rPr>
          <w:b/>
        </w:rPr>
        <w:t xml:space="preserve"> skyriaus veikla</w:t>
      </w:r>
    </w:p>
    <w:p w14:paraId="3E68FE3F" w14:textId="77777777" w:rsidR="00F734F0" w:rsidRPr="009C3AC7" w:rsidRDefault="00F734F0" w:rsidP="00F734F0">
      <w:pPr>
        <w:ind w:firstLine="572"/>
        <w:jc w:val="center"/>
        <w:rPr>
          <w:b/>
        </w:rPr>
      </w:pPr>
    </w:p>
    <w:p w14:paraId="44A39EBA" w14:textId="7034EC36" w:rsidR="00F734F0" w:rsidRPr="009C3AC7" w:rsidRDefault="00F734F0" w:rsidP="00F734F0">
      <w:pPr>
        <w:ind w:firstLine="572"/>
        <w:jc w:val="both"/>
      </w:pPr>
      <w:r w:rsidRPr="009C3AC7">
        <w:t>202</w:t>
      </w:r>
      <w:r w:rsidR="00342CD3" w:rsidRPr="009C3AC7">
        <w:t>1</w:t>
      </w:r>
      <w:r w:rsidRPr="009C3AC7">
        <w:t xml:space="preserve"> metais Palaikomojo gydymo ir slaugos skyrius paslaugas teikė paslaugas visus metus, taip pat ir karantino laikotarpiu. 202</w:t>
      </w:r>
      <w:r w:rsidR="00342CD3" w:rsidRPr="009C3AC7">
        <w:t>1</w:t>
      </w:r>
      <w:r w:rsidRPr="009C3AC7">
        <w:t xml:space="preserve"> metais įvykdyti </w:t>
      </w:r>
      <w:r w:rsidR="00342CD3" w:rsidRPr="009C3AC7">
        <w:t>2696</w:t>
      </w:r>
      <w:r w:rsidRPr="009C3AC7">
        <w:t xml:space="preserve"> lovadieniai, Palaikomojo gydymo ir slaugos skyriaus skyriuje buvo gydom</w:t>
      </w:r>
      <w:r w:rsidR="00D63986" w:rsidRPr="009C3AC7">
        <w:t>i</w:t>
      </w:r>
      <w:r w:rsidRPr="009C3AC7">
        <w:t xml:space="preserve"> ir slaugom</w:t>
      </w:r>
      <w:r w:rsidR="00342CD3" w:rsidRPr="009C3AC7">
        <w:t>i</w:t>
      </w:r>
      <w:r w:rsidRPr="009C3AC7">
        <w:t xml:space="preserve"> 10</w:t>
      </w:r>
      <w:r w:rsidR="00342CD3" w:rsidRPr="009C3AC7">
        <w:t>8</w:t>
      </w:r>
      <w:r w:rsidRPr="009C3AC7">
        <w:t xml:space="preserve"> pacienta</w:t>
      </w:r>
      <w:r w:rsidR="00342CD3" w:rsidRPr="009C3AC7">
        <w:t>i</w:t>
      </w:r>
      <w:r w:rsidRPr="009C3AC7">
        <w:t xml:space="preserve">. </w:t>
      </w:r>
    </w:p>
    <w:p w14:paraId="0F3BDC51" w14:textId="0D723CEA" w:rsidR="00F734F0" w:rsidRPr="009C3AC7" w:rsidRDefault="00F734F0" w:rsidP="00887E9B">
      <w:pPr>
        <w:ind w:firstLine="572"/>
        <w:jc w:val="both"/>
      </w:pPr>
      <w:r w:rsidRPr="009C3AC7">
        <w:t>Palaikomojo gydymo ir slaugos paslauga labai svarbi ir reikalinga, kadangi Neringos visuomenė senėja, daugėja sergančių, senyvo amžiaus žmonių, kurie patys savimi negali pasirūpinti, o artimųjų galimybės pasirūpinti sergančiais artimaisiais dažnai būna ribotos.</w:t>
      </w:r>
    </w:p>
    <w:p w14:paraId="7A35E3A3" w14:textId="37DB2DDB" w:rsidR="001B489C" w:rsidRDefault="001B489C" w:rsidP="003A26B7"/>
    <w:p w14:paraId="6E7AF556" w14:textId="77777777" w:rsidR="00651F5D" w:rsidRPr="009C3AC7" w:rsidRDefault="00651F5D" w:rsidP="003A26B7"/>
    <w:p w14:paraId="6F794A42" w14:textId="3EB54533" w:rsidR="0096506C" w:rsidRPr="009C3AC7" w:rsidRDefault="0096506C" w:rsidP="00887E9B">
      <w:pPr>
        <w:pStyle w:val="Antrat1"/>
        <w:numPr>
          <w:ilvl w:val="0"/>
          <w:numId w:val="0"/>
        </w:numPr>
        <w:tabs>
          <w:tab w:val="left" w:pos="0"/>
        </w:tabs>
      </w:pPr>
      <w:r w:rsidRPr="009C3AC7">
        <w:t>Greitosios medicinos pagalbos veiklos rodikliai</w:t>
      </w:r>
    </w:p>
    <w:p w14:paraId="1B22B6E5" w14:textId="05AA8295" w:rsidR="003A3715" w:rsidRPr="009C3AC7" w:rsidRDefault="003A3715" w:rsidP="003A3715">
      <w:pPr>
        <w:rPr>
          <w:lang w:eastAsia="ar-SA"/>
        </w:rPr>
      </w:pPr>
    </w:p>
    <w:p w14:paraId="1DCF3ED8" w14:textId="181D9B21" w:rsidR="001B489C" w:rsidRPr="009C3AC7" w:rsidRDefault="001B489C" w:rsidP="001B489C">
      <w:pPr>
        <w:ind w:firstLine="567"/>
        <w:jc w:val="both"/>
      </w:pPr>
      <w:r w:rsidRPr="009C3AC7">
        <w:t>20</w:t>
      </w:r>
      <w:r w:rsidR="001E2CEE" w:rsidRPr="009C3AC7">
        <w:t>2</w:t>
      </w:r>
      <w:r w:rsidR="00342CD3" w:rsidRPr="009C3AC7">
        <w:t>1</w:t>
      </w:r>
      <w:r w:rsidRPr="009C3AC7">
        <w:t xml:space="preserve"> metais GMP kviesta </w:t>
      </w:r>
      <w:r w:rsidR="00342CD3" w:rsidRPr="009C3AC7">
        <w:t>881</w:t>
      </w:r>
      <w:r w:rsidRPr="009C3AC7">
        <w:t xml:space="preserve"> kartus, iš jų GMP brigadų I kategorijos (skubių) iškvietimų skaičius sudarė didžiausią dalį </w:t>
      </w:r>
      <w:r w:rsidR="0015642A">
        <w:t>–</w:t>
      </w:r>
      <w:r w:rsidRPr="009C3AC7">
        <w:t xml:space="preserve"> net </w:t>
      </w:r>
      <w:r w:rsidR="00342CD3" w:rsidRPr="009C3AC7">
        <w:t>77</w:t>
      </w:r>
      <w:r w:rsidRPr="009C3AC7">
        <w:t xml:space="preserve"> % nuo visų iškvietimų</w:t>
      </w:r>
      <w:r w:rsidR="00B6718A" w:rsidRPr="009C3AC7">
        <w:t xml:space="preserve">. </w:t>
      </w:r>
    </w:p>
    <w:p w14:paraId="3DC7B618" w14:textId="77777777" w:rsidR="005F5B23" w:rsidRPr="009C3AC7" w:rsidRDefault="005F5B23" w:rsidP="001B489C">
      <w:pPr>
        <w:ind w:firstLine="567"/>
        <w:jc w:val="both"/>
      </w:pPr>
    </w:p>
    <w:p w14:paraId="3648ADC1" w14:textId="77777777" w:rsidR="005F5B23" w:rsidRPr="009C3AC7" w:rsidRDefault="00D63986" w:rsidP="00651F5D">
      <w:pPr>
        <w:rPr>
          <w:i/>
        </w:rPr>
      </w:pPr>
      <w:r w:rsidRPr="009C3AC7">
        <w:rPr>
          <w:noProof/>
        </w:rPr>
        <w:lastRenderedPageBreak/>
        <w:drawing>
          <wp:inline distT="0" distB="0" distL="0" distR="0" wp14:anchorId="13DAA0FD" wp14:editId="28B602F3">
            <wp:extent cx="4701540" cy="2026790"/>
            <wp:effectExtent l="0" t="0" r="3810" b="0"/>
            <wp:docPr id="3" name="Picture 1">
              <a:extLst xmlns:a="http://schemas.openxmlformats.org/drawingml/2006/main">
                <a:ext uri="{FF2B5EF4-FFF2-40B4-BE49-F238E27FC236}">
                  <a16:creationId xmlns:a16="http://schemas.microsoft.com/office/drawing/2014/main" id="{E34EF932-0621-4412-B92C-EAEEB3BEB2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a16="http://schemas.microsoft.com/office/drawing/2014/main" id="{E34EF932-0621-4412-B92C-EAEEB3BEB288}"/>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5898" cy="2063156"/>
                    </a:xfrm>
                    <a:prstGeom prst="rect">
                      <a:avLst/>
                    </a:prstGeom>
                    <a:noFill/>
                    <a:ln>
                      <a:noFill/>
                    </a:ln>
                  </pic:spPr>
                </pic:pic>
              </a:graphicData>
            </a:graphic>
          </wp:inline>
        </w:drawing>
      </w:r>
      <w:r w:rsidR="005F5B23" w:rsidRPr="009C3AC7">
        <w:rPr>
          <w:i/>
        </w:rPr>
        <w:t>Skubių iškvietimų skaičius</w:t>
      </w:r>
    </w:p>
    <w:p w14:paraId="439358A8" w14:textId="0AABD219" w:rsidR="003A485F" w:rsidRPr="009C3AC7" w:rsidRDefault="005F5B23" w:rsidP="003A485F">
      <w:pPr>
        <w:ind w:firstLine="567"/>
        <w:jc w:val="right"/>
        <w:rPr>
          <w:i/>
        </w:rPr>
      </w:pPr>
      <w:r w:rsidRPr="009C3AC7">
        <w:rPr>
          <w:i/>
        </w:rPr>
        <w:t>(</w:t>
      </w:r>
      <w:r w:rsidR="003A485F" w:rsidRPr="009C3AC7">
        <w:rPr>
          <w:i/>
        </w:rPr>
        <w:t>GMP Colibri programos duomenys</w:t>
      </w:r>
      <w:r w:rsidRPr="009C3AC7">
        <w:rPr>
          <w:i/>
        </w:rPr>
        <w:t>)</w:t>
      </w:r>
    </w:p>
    <w:p w14:paraId="5D894AE5" w14:textId="77777777" w:rsidR="00CD1F9F" w:rsidRPr="009C3AC7" w:rsidRDefault="00CD1F9F" w:rsidP="00C72A20">
      <w:pPr>
        <w:ind w:firstLine="567"/>
        <w:jc w:val="both"/>
      </w:pPr>
    </w:p>
    <w:p w14:paraId="32AA9B2B" w14:textId="6D512870" w:rsidR="001B489C" w:rsidRPr="009C3AC7" w:rsidRDefault="001B489C" w:rsidP="00C72A20">
      <w:pPr>
        <w:ind w:firstLine="567"/>
        <w:jc w:val="both"/>
      </w:pPr>
      <w:r w:rsidRPr="009C3AC7">
        <w:t xml:space="preserve">Dažniausiai greitoji medicininė pagalba Neringoje buvo teikta asmenims nuo </w:t>
      </w:r>
      <w:r w:rsidR="00D63986" w:rsidRPr="009C3AC7">
        <w:t>2</w:t>
      </w:r>
      <w:r w:rsidRPr="009C3AC7">
        <w:t xml:space="preserve">5 iki </w:t>
      </w:r>
      <w:r w:rsidR="00424518" w:rsidRPr="009C3AC7">
        <w:t>4</w:t>
      </w:r>
      <w:r w:rsidRPr="009C3AC7">
        <w:t xml:space="preserve">4 metų amžiaus, pagalba suteikta </w:t>
      </w:r>
      <w:r w:rsidR="00424518" w:rsidRPr="009C3AC7">
        <w:t>162</w:t>
      </w:r>
      <w:r w:rsidRPr="009C3AC7">
        <w:t xml:space="preserve"> tokio amžiaus pacientams. Asmenims iki 15 metų amžiaus greitoji pagalba teikta </w:t>
      </w:r>
      <w:r w:rsidR="007C43F0" w:rsidRPr="009C3AC7">
        <w:t>85</w:t>
      </w:r>
      <w:r w:rsidR="007D2409" w:rsidRPr="009C3AC7">
        <w:t xml:space="preserve"> kart</w:t>
      </w:r>
      <w:r w:rsidR="007C43F0" w:rsidRPr="009C3AC7">
        <w:t>us</w:t>
      </w:r>
      <w:r w:rsidRPr="009C3AC7">
        <w:t>.</w:t>
      </w:r>
      <w:r w:rsidR="007C43F0" w:rsidRPr="009C3AC7">
        <w:t xml:space="preserve"> </w:t>
      </w:r>
    </w:p>
    <w:p w14:paraId="7DEE8A65" w14:textId="4F84A96D" w:rsidR="00C36A28" w:rsidRPr="009C3AC7" w:rsidRDefault="00D63986" w:rsidP="00666E56">
      <w:pPr>
        <w:ind w:firstLine="567"/>
        <w:jc w:val="right"/>
      </w:pPr>
      <w:r w:rsidRPr="009C3AC7">
        <w:rPr>
          <w:noProof/>
        </w:rPr>
        <w:drawing>
          <wp:inline distT="0" distB="0" distL="0" distR="0" wp14:anchorId="58210D18" wp14:editId="38288DA6">
            <wp:extent cx="5924550" cy="2543175"/>
            <wp:effectExtent l="0" t="0" r="0" b="9525"/>
            <wp:docPr id="1025" name="Picture 1">
              <a:extLst xmlns:a="http://schemas.openxmlformats.org/drawingml/2006/main">
                <a:ext uri="{FF2B5EF4-FFF2-40B4-BE49-F238E27FC236}">
                  <a16:creationId xmlns:a16="http://schemas.microsoft.com/office/drawing/2014/main" id="{F0F591A2-BA15-4A7F-B7B1-269619865E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a16="http://schemas.microsoft.com/office/drawing/2014/main" id="{F0F591A2-BA15-4A7F-B7B1-269619865E9E}"/>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4550" cy="2543175"/>
                    </a:xfrm>
                    <a:prstGeom prst="rect">
                      <a:avLst/>
                    </a:prstGeom>
                    <a:noFill/>
                    <a:ln>
                      <a:noFill/>
                    </a:ln>
                  </pic:spPr>
                </pic:pic>
              </a:graphicData>
            </a:graphic>
          </wp:inline>
        </w:drawing>
      </w:r>
      <w:r w:rsidR="00C36A28" w:rsidRPr="009C3AC7">
        <w:rPr>
          <w:i/>
        </w:rPr>
        <w:t>Greitosios medicinos pagalbos pacientų amžius</w:t>
      </w:r>
    </w:p>
    <w:p w14:paraId="0B909EE3" w14:textId="7C99FE98" w:rsidR="0064474E" w:rsidRDefault="0064474E" w:rsidP="00673515">
      <w:pPr>
        <w:jc w:val="center"/>
        <w:rPr>
          <w:b/>
        </w:rPr>
      </w:pPr>
    </w:p>
    <w:p w14:paraId="3FB18664" w14:textId="3320C775" w:rsidR="00311E34" w:rsidRPr="009C3AC7" w:rsidRDefault="00311E34" w:rsidP="00673515">
      <w:pPr>
        <w:jc w:val="center"/>
        <w:rPr>
          <w:b/>
        </w:rPr>
      </w:pPr>
      <w:r w:rsidRPr="009C3AC7">
        <w:rPr>
          <w:b/>
        </w:rPr>
        <w:t>Atnaujintos, parengtos naujos kokybės vadybos sistemos procedūros, darbo instrukcijos, metodikos, reglamentai</w:t>
      </w:r>
    </w:p>
    <w:p w14:paraId="6330426C" w14:textId="3105AB95" w:rsidR="00B211B3" w:rsidRPr="009C3AC7" w:rsidRDefault="00B211B3" w:rsidP="00673515">
      <w:pPr>
        <w:jc w:val="center"/>
        <w:rPr>
          <w:b/>
        </w:rPr>
      </w:pPr>
    </w:p>
    <w:p w14:paraId="37C205C4" w14:textId="053D1A57" w:rsidR="00A23284" w:rsidRPr="009C3AC7" w:rsidRDefault="001225BB" w:rsidP="00CD1F9F">
      <w:pPr>
        <w:pStyle w:val="Sraopastraipa"/>
        <w:numPr>
          <w:ilvl w:val="0"/>
          <w:numId w:val="21"/>
        </w:numPr>
        <w:ind w:left="0" w:firstLine="360"/>
        <w:jc w:val="both"/>
        <w:rPr>
          <w:bCs/>
        </w:rPr>
      </w:pPr>
      <w:r w:rsidRPr="009C3AC7">
        <w:rPr>
          <w:bCs/>
        </w:rPr>
        <w:t>Elektroninių pašto sistemų administravimo ir naudojimo tvarkos aprašas;</w:t>
      </w:r>
    </w:p>
    <w:p w14:paraId="0282CE88" w14:textId="61041488" w:rsidR="00A23284" w:rsidRPr="009C3AC7" w:rsidRDefault="001225BB" w:rsidP="00CD1F9F">
      <w:pPr>
        <w:pStyle w:val="Sraopastraipa"/>
        <w:numPr>
          <w:ilvl w:val="0"/>
          <w:numId w:val="21"/>
        </w:numPr>
        <w:ind w:left="0" w:firstLine="360"/>
        <w:jc w:val="both"/>
        <w:rPr>
          <w:bCs/>
        </w:rPr>
      </w:pPr>
      <w:r w:rsidRPr="009C3AC7">
        <w:rPr>
          <w:bCs/>
        </w:rPr>
        <w:t xml:space="preserve">Išmokų už suteiktas papildomas skatinamąsias ir prevencines paslaugas paskirstymo tvarka; </w:t>
      </w:r>
    </w:p>
    <w:p w14:paraId="6495FDF2" w14:textId="3B752E11" w:rsidR="00A23284" w:rsidRPr="009C3AC7" w:rsidRDefault="001225BB" w:rsidP="00CD1F9F">
      <w:pPr>
        <w:pStyle w:val="Sraopastraipa"/>
        <w:numPr>
          <w:ilvl w:val="0"/>
          <w:numId w:val="21"/>
        </w:numPr>
        <w:ind w:left="0" w:firstLine="360"/>
        <w:jc w:val="both"/>
        <w:rPr>
          <w:bCs/>
        </w:rPr>
      </w:pPr>
      <w:r w:rsidRPr="009C3AC7">
        <w:rPr>
          <w:bCs/>
        </w:rPr>
        <w:t>Darbdaviui priklausančių ir darbuotojui perduotų darbo priemonių, turto naudojimo tvarkos aprašas;</w:t>
      </w:r>
    </w:p>
    <w:p w14:paraId="6D8F393E" w14:textId="699BDB1F" w:rsidR="00A23284" w:rsidRPr="009C3AC7" w:rsidRDefault="001225BB" w:rsidP="00CD1F9F">
      <w:pPr>
        <w:pStyle w:val="Sraopastraipa"/>
        <w:numPr>
          <w:ilvl w:val="0"/>
          <w:numId w:val="21"/>
        </w:numPr>
        <w:ind w:left="0" w:firstLine="360"/>
        <w:jc w:val="both"/>
        <w:rPr>
          <w:bCs/>
        </w:rPr>
      </w:pPr>
      <w:r w:rsidRPr="009C3AC7">
        <w:rPr>
          <w:bCs/>
        </w:rPr>
        <w:t>Atsargų apskaitos tvarkos aprašas</w:t>
      </w:r>
      <w:r w:rsidR="00651F5D">
        <w:rPr>
          <w:bCs/>
        </w:rPr>
        <w:t>;</w:t>
      </w:r>
    </w:p>
    <w:p w14:paraId="5A4F22DC" w14:textId="77777777" w:rsidR="001225BB" w:rsidRPr="009C3AC7" w:rsidRDefault="001225BB" w:rsidP="00CD1F9F">
      <w:pPr>
        <w:pStyle w:val="Sraopastraipa"/>
        <w:numPr>
          <w:ilvl w:val="0"/>
          <w:numId w:val="21"/>
        </w:numPr>
        <w:ind w:left="0" w:firstLine="360"/>
        <w:jc w:val="both"/>
        <w:rPr>
          <w:bCs/>
        </w:rPr>
      </w:pPr>
      <w:r w:rsidRPr="009C3AC7">
        <w:rPr>
          <w:bCs/>
        </w:rPr>
        <w:t>Mokamų paslaugų teikimo ir apmokėjimo tvarkos aprašas ir sąrašas;</w:t>
      </w:r>
    </w:p>
    <w:p w14:paraId="1072F2AF" w14:textId="1B3232F8" w:rsidR="00A23284" w:rsidRPr="009C3AC7" w:rsidRDefault="001225BB" w:rsidP="00CD1F9F">
      <w:pPr>
        <w:pStyle w:val="Sraopastraipa"/>
        <w:numPr>
          <w:ilvl w:val="0"/>
          <w:numId w:val="21"/>
        </w:numPr>
        <w:ind w:left="0" w:firstLine="360"/>
        <w:jc w:val="both"/>
        <w:rPr>
          <w:bCs/>
        </w:rPr>
      </w:pPr>
      <w:r w:rsidRPr="009C3AC7">
        <w:rPr>
          <w:bCs/>
        </w:rPr>
        <w:t>Viešųjų pirkimų organizavimo ir vykdymo tvarkos aprašas</w:t>
      </w:r>
      <w:r w:rsidR="00651F5D">
        <w:rPr>
          <w:bCs/>
        </w:rPr>
        <w:t>;</w:t>
      </w:r>
    </w:p>
    <w:p w14:paraId="13F78326" w14:textId="3CCBE545" w:rsidR="00A23284" w:rsidRPr="009C3AC7" w:rsidRDefault="001225BB" w:rsidP="00CD1F9F">
      <w:pPr>
        <w:pStyle w:val="Sraopastraipa"/>
        <w:numPr>
          <w:ilvl w:val="0"/>
          <w:numId w:val="21"/>
        </w:numPr>
        <w:ind w:left="0" w:firstLine="360"/>
        <w:jc w:val="both"/>
        <w:rPr>
          <w:bCs/>
        </w:rPr>
      </w:pPr>
      <w:r w:rsidRPr="009C3AC7">
        <w:rPr>
          <w:bCs/>
        </w:rPr>
        <w:t>Viešojo pirkimo komisijos darbo reglamentas;</w:t>
      </w:r>
    </w:p>
    <w:p w14:paraId="7BD2152B" w14:textId="0E6E7692" w:rsidR="00A23284" w:rsidRPr="009C3AC7" w:rsidRDefault="001225BB" w:rsidP="00CD1F9F">
      <w:pPr>
        <w:pStyle w:val="Sraopastraipa"/>
        <w:numPr>
          <w:ilvl w:val="0"/>
          <w:numId w:val="21"/>
        </w:numPr>
        <w:ind w:left="0" w:firstLine="360"/>
        <w:jc w:val="both"/>
        <w:rPr>
          <w:bCs/>
        </w:rPr>
      </w:pPr>
      <w:r w:rsidRPr="009C3AC7">
        <w:rPr>
          <w:bCs/>
        </w:rPr>
        <w:t>Palaikomojo gydymo ir slaugos skyriaus pacientų lankymo tvarka;</w:t>
      </w:r>
    </w:p>
    <w:p w14:paraId="7F229EC5" w14:textId="5202FA33" w:rsidR="00C3229A" w:rsidRPr="009C3AC7" w:rsidRDefault="00C3229A" w:rsidP="00CD1F9F">
      <w:pPr>
        <w:pStyle w:val="Sraopastraipa"/>
        <w:numPr>
          <w:ilvl w:val="0"/>
          <w:numId w:val="21"/>
        </w:numPr>
        <w:ind w:left="0" w:firstLine="360"/>
        <w:jc w:val="both"/>
        <w:rPr>
          <w:bCs/>
        </w:rPr>
      </w:pPr>
      <w:r w:rsidRPr="009C3AC7">
        <w:rPr>
          <w:bCs/>
        </w:rPr>
        <w:t>Paciento epidemiologinės anketos patvirtinimas ir pildymo tvarka</w:t>
      </w:r>
      <w:r w:rsidR="00C36A28" w:rsidRPr="009C3AC7">
        <w:rPr>
          <w:bCs/>
        </w:rPr>
        <w:t>;</w:t>
      </w:r>
    </w:p>
    <w:p w14:paraId="16104E2A" w14:textId="36E4BCA9" w:rsidR="00D15B8E" w:rsidRPr="009C3AC7" w:rsidRDefault="00013EF9" w:rsidP="00CD1F9F">
      <w:pPr>
        <w:pStyle w:val="Sraopastraipa"/>
        <w:numPr>
          <w:ilvl w:val="0"/>
          <w:numId w:val="21"/>
        </w:numPr>
        <w:ind w:left="0" w:firstLine="360"/>
        <w:jc w:val="both"/>
        <w:rPr>
          <w:bCs/>
        </w:rPr>
      </w:pPr>
      <w:r w:rsidRPr="009C3AC7">
        <w:rPr>
          <w:bCs/>
        </w:rPr>
        <w:t>Skiepijimų procedūros tvarkos aprašas;</w:t>
      </w:r>
    </w:p>
    <w:p w14:paraId="0E19A0E4" w14:textId="6FDA0D7C" w:rsidR="00D15B8E" w:rsidRPr="009C3AC7" w:rsidRDefault="00013EF9" w:rsidP="00CD1F9F">
      <w:pPr>
        <w:pStyle w:val="Sraopastraipa"/>
        <w:numPr>
          <w:ilvl w:val="0"/>
          <w:numId w:val="21"/>
        </w:numPr>
        <w:ind w:left="0" w:firstLine="360"/>
        <w:jc w:val="both"/>
        <w:rPr>
          <w:bCs/>
        </w:rPr>
      </w:pPr>
      <w:r w:rsidRPr="009C3AC7">
        <w:rPr>
          <w:bCs/>
        </w:rPr>
        <w:lastRenderedPageBreak/>
        <w:t>Gautų imuninių vaistinių preparatų registravimo tvarkos aprašas</w:t>
      </w:r>
      <w:r w:rsidR="00651F5D">
        <w:rPr>
          <w:bCs/>
        </w:rPr>
        <w:t>;</w:t>
      </w:r>
    </w:p>
    <w:p w14:paraId="03702A75" w14:textId="286B15FE" w:rsidR="00D15B8E" w:rsidRPr="009C3AC7" w:rsidRDefault="00D15B8E" w:rsidP="00CD1F9F">
      <w:pPr>
        <w:pStyle w:val="Sraopastraipa"/>
        <w:numPr>
          <w:ilvl w:val="0"/>
          <w:numId w:val="21"/>
        </w:numPr>
        <w:ind w:left="0" w:firstLine="360"/>
        <w:jc w:val="both"/>
        <w:rPr>
          <w:bCs/>
        </w:rPr>
      </w:pPr>
      <w:r w:rsidRPr="009C3AC7">
        <w:rPr>
          <w:bCs/>
        </w:rPr>
        <w:t>Inventorizacijos atlikimo tvarka</w:t>
      </w:r>
      <w:r w:rsidR="00C36A28" w:rsidRPr="009C3AC7">
        <w:rPr>
          <w:bCs/>
        </w:rPr>
        <w:t>;</w:t>
      </w:r>
    </w:p>
    <w:p w14:paraId="4FD5C451" w14:textId="5B1E30F1" w:rsidR="00D15B8E" w:rsidRPr="009C3AC7" w:rsidRDefault="00D15B8E" w:rsidP="00CD1F9F">
      <w:pPr>
        <w:pStyle w:val="Sraopastraipa"/>
        <w:numPr>
          <w:ilvl w:val="0"/>
          <w:numId w:val="21"/>
        </w:numPr>
        <w:ind w:left="0" w:firstLine="360"/>
        <w:jc w:val="both"/>
        <w:rPr>
          <w:bCs/>
        </w:rPr>
      </w:pPr>
      <w:r w:rsidRPr="009C3AC7">
        <w:rPr>
          <w:bCs/>
        </w:rPr>
        <w:t>Neringos mobilaus punkto darbo organizavimo tvarka</w:t>
      </w:r>
      <w:r w:rsidR="00C36A28" w:rsidRPr="009C3AC7">
        <w:rPr>
          <w:bCs/>
        </w:rPr>
        <w:t>;</w:t>
      </w:r>
    </w:p>
    <w:p w14:paraId="57C7BB0C" w14:textId="2743F5F2" w:rsidR="00B211B3" w:rsidRPr="009C3AC7" w:rsidRDefault="00B211B3" w:rsidP="00CD1F9F">
      <w:pPr>
        <w:pStyle w:val="Sraopastraipa"/>
        <w:numPr>
          <w:ilvl w:val="0"/>
          <w:numId w:val="21"/>
        </w:numPr>
        <w:ind w:left="0" w:firstLine="360"/>
        <w:jc w:val="both"/>
        <w:rPr>
          <w:bCs/>
        </w:rPr>
      </w:pPr>
      <w:r w:rsidRPr="009C3AC7">
        <w:rPr>
          <w:bCs/>
        </w:rPr>
        <w:t>Darbuotojų darbo apmokėjimo tvarkos aprašas</w:t>
      </w:r>
      <w:r w:rsidR="00651F5D">
        <w:rPr>
          <w:bCs/>
        </w:rPr>
        <w:t>;</w:t>
      </w:r>
    </w:p>
    <w:p w14:paraId="666B0536" w14:textId="73F27D33" w:rsidR="00013EF9" w:rsidRPr="009C3AC7" w:rsidRDefault="00013EF9" w:rsidP="00CD1F9F">
      <w:pPr>
        <w:pStyle w:val="Sraopastraipa"/>
        <w:numPr>
          <w:ilvl w:val="0"/>
          <w:numId w:val="21"/>
        </w:numPr>
        <w:ind w:left="0" w:firstLine="360"/>
        <w:jc w:val="both"/>
        <w:rPr>
          <w:bCs/>
        </w:rPr>
      </w:pPr>
      <w:r w:rsidRPr="009C3AC7">
        <w:rPr>
          <w:bCs/>
        </w:rPr>
        <w:t>Pareigybių (gydytojo rezidento, vyriausiojo buhalterio, gydytojo odontologo, bendrosios praktikos slaugytojo) pareigybių aprašymai;</w:t>
      </w:r>
    </w:p>
    <w:p w14:paraId="38B9FC59" w14:textId="5F84101E" w:rsidR="00013EF9" w:rsidRPr="009C3AC7" w:rsidRDefault="00D201FE" w:rsidP="00CD1F9F">
      <w:pPr>
        <w:pStyle w:val="Sraopastraipa"/>
        <w:numPr>
          <w:ilvl w:val="0"/>
          <w:numId w:val="21"/>
        </w:numPr>
        <w:ind w:left="0" w:firstLine="360"/>
        <w:jc w:val="both"/>
        <w:rPr>
          <w:bCs/>
        </w:rPr>
      </w:pPr>
      <w:r w:rsidRPr="009C3AC7">
        <w:rPr>
          <w:bCs/>
        </w:rPr>
        <w:t>Neringos PSPC vidaus eismo taisyklės;</w:t>
      </w:r>
    </w:p>
    <w:p w14:paraId="686B2AFC" w14:textId="15BD8E54" w:rsidR="00D201FE" w:rsidRPr="009C3AC7" w:rsidRDefault="00D201FE" w:rsidP="00CD1F9F">
      <w:pPr>
        <w:pStyle w:val="Sraopastraipa"/>
        <w:numPr>
          <w:ilvl w:val="0"/>
          <w:numId w:val="21"/>
        </w:numPr>
        <w:ind w:left="0" w:firstLine="360"/>
        <w:jc w:val="both"/>
        <w:rPr>
          <w:bCs/>
        </w:rPr>
      </w:pPr>
      <w:r w:rsidRPr="009C3AC7">
        <w:rPr>
          <w:bCs/>
        </w:rPr>
        <w:t>Neringos PSPC incidentų tyrimo ir registravimo tvarkos aprašas;</w:t>
      </w:r>
    </w:p>
    <w:p w14:paraId="2409E9BC" w14:textId="1703B6C6" w:rsidR="00D201FE" w:rsidRPr="009C3AC7" w:rsidRDefault="00D201FE" w:rsidP="00CD1F9F">
      <w:pPr>
        <w:pStyle w:val="Sraopastraipa"/>
        <w:numPr>
          <w:ilvl w:val="0"/>
          <w:numId w:val="21"/>
        </w:numPr>
        <w:ind w:left="0" w:firstLine="360"/>
        <w:jc w:val="both"/>
        <w:rPr>
          <w:bCs/>
        </w:rPr>
      </w:pPr>
      <w:r w:rsidRPr="009C3AC7">
        <w:rPr>
          <w:bCs/>
        </w:rPr>
        <w:t>Darbuotojų neblaivumo ar apsvaigimo nuo psichiką veikiančių medžiagų nustatymo tvarkos aprašas;</w:t>
      </w:r>
    </w:p>
    <w:p w14:paraId="04878FC4" w14:textId="3F259065" w:rsidR="00D201FE" w:rsidRPr="009C3AC7" w:rsidRDefault="00D201FE" w:rsidP="00CD1F9F">
      <w:pPr>
        <w:pStyle w:val="Sraopastraipa"/>
        <w:numPr>
          <w:ilvl w:val="0"/>
          <w:numId w:val="21"/>
        </w:numPr>
        <w:ind w:left="0" w:firstLine="360"/>
        <w:jc w:val="both"/>
        <w:rPr>
          <w:bCs/>
        </w:rPr>
      </w:pPr>
      <w:r w:rsidRPr="009C3AC7">
        <w:rPr>
          <w:bCs/>
        </w:rPr>
        <w:t>Kopėčių apžiūros ir tikrinimo tvarkos aprašas</w:t>
      </w:r>
      <w:r w:rsidR="00AA18FD" w:rsidRPr="009C3AC7">
        <w:rPr>
          <w:bCs/>
        </w:rPr>
        <w:t>;</w:t>
      </w:r>
    </w:p>
    <w:p w14:paraId="56C4FFE6" w14:textId="420D8C0C" w:rsidR="00CE572E" w:rsidRPr="009C3AC7" w:rsidRDefault="00CE572E" w:rsidP="00CD1F9F">
      <w:pPr>
        <w:pStyle w:val="Sraopastraipa"/>
        <w:numPr>
          <w:ilvl w:val="0"/>
          <w:numId w:val="21"/>
        </w:numPr>
        <w:ind w:left="0" w:firstLine="360"/>
        <w:jc w:val="both"/>
        <w:rPr>
          <w:bCs/>
        </w:rPr>
      </w:pPr>
      <w:r w:rsidRPr="009C3AC7">
        <w:rPr>
          <w:bCs/>
        </w:rPr>
        <w:t>Saugaus elektroninės informacijos tvarkymo taisyklės.</w:t>
      </w:r>
    </w:p>
    <w:p w14:paraId="4A7D081F" w14:textId="16990551" w:rsidR="00490EEF" w:rsidRPr="009C3AC7" w:rsidRDefault="00490EEF" w:rsidP="00311E34">
      <w:pPr>
        <w:rPr>
          <w:b/>
        </w:rPr>
      </w:pPr>
    </w:p>
    <w:p w14:paraId="0A9AA384" w14:textId="1F2137C7" w:rsidR="00677CD4" w:rsidRPr="009C3AC7" w:rsidRDefault="00F926D5" w:rsidP="00651F5D">
      <w:pPr>
        <w:jc w:val="center"/>
        <w:rPr>
          <w:b/>
          <w:bCs/>
        </w:rPr>
      </w:pPr>
      <w:r w:rsidRPr="009C3AC7">
        <w:rPr>
          <w:b/>
          <w:bCs/>
        </w:rPr>
        <w:t>COVID</w:t>
      </w:r>
      <w:r w:rsidR="00677CD4" w:rsidRPr="009C3AC7">
        <w:rPr>
          <w:b/>
          <w:bCs/>
        </w:rPr>
        <w:t>-19 situacija Neringos PSPC</w:t>
      </w:r>
    </w:p>
    <w:p w14:paraId="4547DCBA" w14:textId="70EBB332" w:rsidR="00677CD4" w:rsidRPr="009C3AC7" w:rsidRDefault="00677CD4" w:rsidP="00677CD4">
      <w:pPr>
        <w:ind w:firstLine="420"/>
        <w:jc w:val="center"/>
      </w:pPr>
    </w:p>
    <w:p w14:paraId="32A46B8C" w14:textId="4811AE5A" w:rsidR="00120190" w:rsidRPr="009C3AC7" w:rsidRDefault="00CE572E" w:rsidP="00677CD4">
      <w:pPr>
        <w:ind w:firstLine="420"/>
        <w:jc w:val="both"/>
      </w:pPr>
      <w:r w:rsidRPr="009C3AC7">
        <w:t xml:space="preserve">Neringos savivaldybės mobilus tyrimų punktas, įsteigtas </w:t>
      </w:r>
      <w:r w:rsidR="008251D9" w:rsidRPr="009C3AC7">
        <w:t>2020 m. lapkričio 10 d. Neringos savivaldybės administracijos direktoriaus įsakymu Nr.</w:t>
      </w:r>
      <w:r w:rsidRPr="009C3AC7">
        <w:t xml:space="preserve"> </w:t>
      </w:r>
      <w:r w:rsidR="008251D9" w:rsidRPr="009C3AC7">
        <w:t>V13-542 „Dėl mobilaus punkto Neringos savivaldybėje steigimo“</w:t>
      </w:r>
      <w:r w:rsidRPr="009C3AC7">
        <w:t xml:space="preserve">, </w:t>
      </w:r>
      <w:r w:rsidR="00CD1F9F" w:rsidRPr="009C3AC7">
        <w:t xml:space="preserve"> ypač </w:t>
      </w:r>
      <w:r w:rsidR="00D201FE" w:rsidRPr="009C3AC7">
        <w:t>aktyviai dirbo visus 2021 metus.</w:t>
      </w:r>
      <w:r w:rsidR="008251D9" w:rsidRPr="009C3AC7">
        <w:t xml:space="preserve"> Punktas teikia tepinėlių iš pacientų nosiaryklės ir ryklės Covid-19 ligos tyrimams paėmimo paslaugą ir organizuoja </w:t>
      </w:r>
      <w:r w:rsidR="00F734F0" w:rsidRPr="009C3AC7">
        <w:t xml:space="preserve">tyrimų </w:t>
      </w:r>
      <w:r w:rsidR="008251D9" w:rsidRPr="009C3AC7">
        <w:t>pristatymą į Covid-19 laboratoriją ištyrimui. Punkte dirba 3 Neringos PSPC darbuotojai.</w:t>
      </w:r>
      <w:r w:rsidR="00CD1F9F" w:rsidRPr="009C3AC7">
        <w:t xml:space="preserve"> </w:t>
      </w:r>
      <w:r w:rsidR="00B7684F" w:rsidRPr="009C3AC7">
        <w:t>2021 m. atlikta</w:t>
      </w:r>
      <w:r w:rsidR="00120190" w:rsidRPr="009C3AC7">
        <w:t>:</w:t>
      </w:r>
      <w:r w:rsidR="00B7684F" w:rsidRPr="009C3AC7">
        <w:t xml:space="preserve"> </w:t>
      </w:r>
      <w:r w:rsidR="00120190" w:rsidRPr="009C3AC7">
        <w:t xml:space="preserve">986 </w:t>
      </w:r>
      <w:r w:rsidR="00B7684F" w:rsidRPr="009C3AC7">
        <w:t>PGR tyrim</w:t>
      </w:r>
      <w:r w:rsidR="00120190" w:rsidRPr="009C3AC7">
        <w:t xml:space="preserve">ai, iš jų 258 </w:t>
      </w:r>
      <w:r w:rsidR="00156287" w:rsidRPr="009C3AC7">
        <w:t>tyrimo rezultatai buvo teigiami</w:t>
      </w:r>
      <w:r w:rsidR="00120190" w:rsidRPr="009C3AC7">
        <w:t>,</w:t>
      </w:r>
      <w:r w:rsidR="00AA18FD" w:rsidRPr="009C3AC7">
        <w:t xml:space="preserve"> </w:t>
      </w:r>
      <w:r w:rsidR="00120190" w:rsidRPr="009C3AC7">
        <w:t>1694 COVID-19 greitųjų antigenų testai, iš kurių 12</w:t>
      </w:r>
      <w:r w:rsidR="00651F5D">
        <w:t> </w:t>
      </w:r>
      <w:r w:rsidR="00156287" w:rsidRPr="009C3AC7">
        <w:t>testų rezultatų buvo teigiami.</w:t>
      </w:r>
    </w:p>
    <w:p w14:paraId="7C80B2C3" w14:textId="4F9ACECA" w:rsidR="00165648" w:rsidRPr="009C3AC7" w:rsidRDefault="00CE572E" w:rsidP="00165648">
      <w:pPr>
        <w:ind w:firstLine="420"/>
        <w:jc w:val="both"/>
      </w:pPr>
      <w:r w:rsidRPr="009C3AC7">
        <w:t xml:space="preserve">2021 m. sausio mėnesį suformuota ir darbą pradėjo </w:t>
      </w:r>
      <w:r w:rsidR="00D84A9B">
        <w:t>v</w:t>
      </w:r>
      <w:r w:rsidRPr="009C3AC7">
        <w:t>akcinavimo nuo Covid-19 ligos komanda. Komandą sudar</w:t>
      </w:r>
      <w:r w:rsidR="00D84A9B">
        <w:t>o 4</w:t>
      </w:r>
      <w:r w:rsidRPr="009C3AC7">
        <w:t xml:space="preserve"> įstaigos darbuotojai</w:t>
      </w:r>
      <w:r w:rsidR="00D84A9B">
        <w:t>.</w:t>
      </w:r>
      <w:r w:rsidRPr="009C3AC7">
        <w:t xml:space="preserve"> Per 2021 metus komanda </w:t>
      </w:r>
      <w:r w:rsidR="00165648" w:rsidRPr="009C3AC7">
        <w:t>atliko 3937 vakcinacijas, iš kurių: 224</w:t>
      </w:r>
      <w:r w:rsidR="0064474E" w:rsidRPr="009C3AC7">
        <w:t>8</w:t>
      </w:r>
      <w:r w:rsidR="00651F5D">
        <w:t> </w:t>
      </w:r>
      <w:r w:rsidR="00165648" w:rsidRPr="009C3AC7">
        <w:t>Pfizer vakcina, 609 Modernos vakcina, 148 Jannsen vakcina, 932 Vaxzevria vakcina.</w:t>
      </w:r>
      <w:r w:rsidR="00CD1F9F" w:rsidRPr="009C3AC7">
        <w:t xml:space="preserve"> </w:t>
      </w:r>
    </w:p>
    <w:p w14:paraId="2FF173FF" w14:textId="756E4C19" w:rsidR="0036651C" w:rsidRPr="009C3AC7" w:rsidRDefault="0036651C" w:rsidP="00F06AF0">
      <w:pPr>
        <w:rPr>
          <w:b/>
          <w:bCs/>
        </w:rPr>
      </w:pPr>
    </w:p>
    <w:p w14:paraId="4B0F3E88" w14:textId="7F008B27" w:rsidR="00DB6B4A" w:rsidRPr="009C3AC7" w:rsidRDefault="00DB6B4A" w:rsidP="00673515">
      <w:pPr>
        <w:autoSpaceDE w:val="0"/>
        <w:autoSpaceDN w:val="0"/>
        <w:adjustRightInd w:val="0"/>
        <w:jc w:val="center"/>
        <w:rPr>
          <w:b/>
          <w:bCs/>
        </w:rPr>
      </w:pPr>
      <w:r w:rsidRPr="009C3AC7">
        <w:rPr>
          <w:b/>
          <w:bCs/>
        </w:rPr>
        <w:t>Neringos PSPC dalininkai ir kiekvieno j</w:t>
      </w:r>
      <w:r w:rsidRPr="009C3AC7">
        <w:rPr>
          <w:b/>
        </w:rPr>
        <w:t>ų į</w:t>
      </w:r>
      <w:r w:rsidRPr="009C3AC7">
        <w:rPr>
          <w:b/>
          <w:bCs/>
        </w:rPr>
        <w:t>naš</w:t>
      </w:r>
      <w:r w:rsidRPr="009C3AC7">
        <w:rPr>
          <w:b/>
        </w:rPr>
        <w:t xml:space="preserve">ų </w:t>
      </w:r>
      <w:r w:rsidRPr="009C3AC7">
        <w:rPr>
          <w:b/>
          <w:bCs/>
        </w:rPr>
        <w:t>vert</w:t>
      </w:r>
      <w:r w:rsidRPr="009C3AC7">
        <w:rPr>
          <w:b/>
        </w:rPr>
        <w:t xml:space="preserve">ė </w:t>
      </w:r>
      <w:r w:rsidRPr="009C3AC7">
        <w:rPr>
          <w:b/>
          <w:bCs/>
        </w:rPr>
        <w:t>finansini</w:t>
      </w:r>
      <w:r w:rsidRPr="009C3AC7">
        <w:rPr>
          <w:b/>
        </w:rPr>
        <w:t xml:space="preserve">ų </w:t>
      </w:r>
      <w:r w:rsidRPr="009C3AC7">
        <w:rPr>
          <w:b/>
          <w:bCs/>
        </w:rPr>
        <w:t>met</w:t>
      </w:r>
      <w:r w:rsidRPr="009C3AC7">
        <w:rPr>
          <w:b/>
        </w:rPr>
        <w:t xml:space="preserve">ų </w:t>
      </w:r>
      <w:r w:rsidRPr="009C3AC7">
        <w:rPr>
          <w:b/>
          <w:bCs/>
        </w:rPr>
        <w:t>pradžioje ir pabaigoje</w:t>
      </w:r>
    </w:p>
    <w:p w14:paraId="22DEC5F8" w14:textId="77777777" w:rsidR="008872A6" w:rsidRPr="009C3AC7" w:rsidRDefault="008872A6" w:rsidP="008872A6">
      <w:pPr>
        <w:autoSpaceDE w:val="0"/>
        <w:autoSpaceDN w:val="0"/>
        <w:adjustRightInd w:val="0"/>
        <w:ind w:firstLine="709"/>
        <w:jc w:val="center"/>
        <w:rPr>
          <w:b/>
          <w:bCs/>
        </w:rPr>
      </w:pPr>
    </w:p>
    <w:p w14:paraId="575D7769" w14:textId="246258B4" w:rsidR="00DB6B4A" w:rsidRPr="009C3AC7" w:rsidRDefault="00DB6B4A" w:rsidP="00DB6B4A">
      <w:pPr>
        <w:autoSpaceDE w:val="0"/>
        <w:autoSpaceDN w:val="0"/>
        <w:adjustRightInd w:val="0"/>
        <w:ind w:firstLine="709"/>
        <w:jc w:val="both"/>
      </w:pPr>
      <w:r w:rsidRPr="009C3AC7">
        <w:t xml:space="preserve">Dalininkų kapitalas ataskaitinio laikotarpio pradžioje ir </w:t>
      </w:r>
      <w:r w:rsidR="008B4770" w:rsidRPr="009C3AC7">
        <w:t>pabaigoje –</w:t>
      </w:r>
      <w:r w:rsidR="00424518" w:rsidRPr="009C3AC7">
        <w:t xml:space="preserve"> </w:t>
      </w:r>
      <w:r w:rsidR="001F2633" w:rsidRPr="009C3AC7">
        <w:t xml:space="preserve">13 028,85 </w:t>
      </w:r>
      <w:r w:rsidRPr="009C3AC7">
        <w:t>Eur. Per ataskaitinius metus įnašų nebuvo.</w:t>
      </w:r>
    </w:p>
    <w:p w14:paraId="444D68BE" w14:textId="3E211F5D" w:rsidR="00DB6B4A" w:rsidRPr="009C3AC7" w:rsidRDefault="00DB6B4A" w:rsidP="001A0453"/>
    <w:p w14:paraId="1634F69C" w14:textId="26648648" w:rsidR="00DB6B4A" w:rsidRPr="009C3AC7" w:rsidRDefault="00DB6B4A" w:rsidP="00673515">
      <w:pPr>
        <w:autoSpaceDE w:val="0"/>
        <w:autoSpaceDN w:val="0"/>
        <w:adjustRightInd w:val="0"/>
        <w:jc w:val="center"/>
        <w:rPr>
          <w:b/>
          <w:bCs/>
        </w:rPr>
      </w:pPr>
      <w:r w:rsidRPr="009C3AC7">
        <w:rPr>
          <w:b/>
          <w:bCs/>
        </w:rPr>
        <w:t>Neringos PSPC gautos l</w:t>
      </w:r>
      <w:r w:rsidRPr="009C3AC7">
        <w:rPr>
          <w:b/>
        </w:rPr>
        <w:t>ė</w:t>
      </w:r>
      <w:r w:rsidRPr="009C3AC7">
        <w:rPr>
          <w:b/>
          <w:bCs/>
        </w:rPr>
        <w:t>šos ir j</w:t>
      </w:r>
      <w:r w:rsidRPr="009C3AC7">
        <w:rPr>
          <w:b/>
        </w:rPr>
        <w:t xml:space="preserve">ų </w:t>
      </w:r>
      <w:r w:rsidRPr="009C3AC7">
        <w:rPr>
          <w:b/>
          <w:bCs/>
        </w:rPr>
        <w:t>šaltiniai per finansinius metus</w:t>
      </w:r>
    </w:p>
    <w:p w14:paraId="08E56C62" w14:textId="77777777" w:rsidR="00F96F7B" w:rsidRPr="009C3AC7" w:rsidRDefault="00F96F7B" w:rsidP="00F96F7B">
      <w:pPr>
        <w:ind w:firstLine="567"/>
        <w:jc w:val="both"/>
      </w:pPr>
    </w:p>
    <w:p w14:paraId="647B976F" w14:textId="375C60C7" w:rsidR="00F96F7B" w:rsidRPr="009C3AC7" w:rsidRDefault="00F96F7B" w:rsidP="00F96F7B">
      <w:pPr>
        <w:ind w:firstLine="567"/>
        <w:jc w:val="both"/>
      </w:pPr>
      <w:bookmarkStart w:id="0" w:name="_Hlk30680790"/>
      <w:r w:rsidRPr="009C3AC7">
        <w:t>Įstaiga 20</w:t>
      </w:r>
      <w:r w:rsidR="0078372D" w:rsidRPr="009C3AC7">
        <w:t>2</w:t>
      </w:r>
      <w:r w:rsidR="0090799C" w:rsidRPr="009C3AC7">
        <w:t>1</w:t>
      </w:r>
      <w:r w:rsidRPr="009C3AC7">
        <w:t xml:space="preserve"> metais gavo </w:t>
      </w:r>
      <w:r w:rsidR="008239B2" w:rsidRPr="009C3AC7">
        <w:t>1</w:t>
      </w:r>
      <w:r w:rsidR="00673515" w:rsidRPr="009C3AC7">
        <w:t xml:space="preserve"> </w:t>
      </w:r>
      <w:r w:rsidR="00925EB7" w:rsidRPr="009C3AC7">
        <w:t>507 941,14</w:t>
      </w:r>
      <w:r w:rsidRPr="009C3AC7">
        <w:t xml:space="preserve"> Eur pajamų. Iš jų:</w:t>
      </w:r>
    </w:p>
    <w:p w14:paraId="746D6120" w14:textId="61012849" w:rsidR="00F96F7B" w:rsidRPr="009C3AC7" w:rsidRDefault="00F96F7B" w:rsidP="00F96F7B">
      <w:pPr>
        <w:ind w:firstLine="567"/>
        <w:jc w:val="both"/>
      </w:pPr>
      <w:r w:rsidRPr="009C3AC7">
        <w:t xml:space="preserve">1. pajamos iš PSDF biudžeto (už ambulatorines asmens sveikatos priežiūros paslaugas, GMP paslaugas, už slaugos pagalbos paslaugas namuose, skatinamąsias paslaugas, gerus darbo rodiklius, prevencinių programų vykdymą) – </w:t>
      </w:r>
      <w:r w:rsidR="00253A9E" w:rsidRPr="009C3AC7">
        <w:t>901 440,21</w:t>
      </w:r>
      <w:r w:rsidRPr="009C3AC7">
        <w:t xml:space="preserve"> Eur;</w:t>
      </w:r>
    </w:p>
    <w:p w14:paraId="233406BB" w14:textId="3631AE1C" w:rsidR="00F96F7B" w:rsidRPr="009C3AC7" w:rsidRDefault="00F96F7B" w:rsidP="00F96F7B">
      <w:pPr>
        <w:ind w:firstLine="567"/>
        <w:jc w:val="both"/>
      </w:pPr>
      <w:r w:rsidRPr="009C3AC7">
        <w:t xml:space="preserve">2. pajamos už suteiktas mokamas paslaugas iš kitų fizinių ir juridinių asmenų – </w:t>
      </w:r>
      <w:r w:rsidR="008407CB" w:rsidRPr="009C3AC7">
        <w:t>58 587,88</w:t>
      </w:r>
      <w:r w:rsidRPr="009C3AC7">
        <w:t xml:space="preserve"> Eur</w:t>
      </w:r>
      <w:r w:rsidR="001A0453" w:rsidRPr="009C3AC7">
        <w:t>:</w:t>
      </w:r>
    </w:p>
    <w:p w14:paraId="0EAF4A43" w14:textId="442758FE" w:rsidR="00F96F7B" w:rsidRPr="009C3AC7" w:rsidRDefault="00F96F7B" w:rsidP="00C07B77">
      <w:pPr>
        <w:ind w:firstLine="567"/>
        <w:jc w:val="both"/>
      </w:pPr>
      <w:r w:rsidRPr="009C3AC7">
        <w:t xml:space="preserve">2.1. apskaičiuotos pajamos už odontologines priemones </w:t>
      </w:r>
      <w:r w:rsidR="00C07B77" w:rsidRPr="009C3AC7">
        <w:t>6 028,91</w:t>
      </w:r>
      <w:r w:rsidRPr="009C3AC7">
        <w:t xml:space="preserve"> Eur;</w:t>
      </w:r>
    </w:p>
    <w:p w14:paraId="75C0ABF3" w14:textId="66BD90BF" w:rsidR="00F96F7B" w:rsidRPr="009C3AC7" w:rsidRDefault="00F96F7B" w:rsidP="00F96F7B">
      <w:pPr>
        <w:ind w:firstLine="567"/>
        <w:jc w:val="both"/>
      </w:pPr>
      <w:r w:rsidRPr="009C3AC7">
        <w:t>2.</w:t>
      </w:r>
      <w:r w:rsidR="008407CB" w:rsidRPr="009C3AC7">
        <w:t>2</w:t>
      </w:r>
      <w:r w:rsidRPr="009C3AC7">
        <w:t xml:space="preserve">. apskaičiuotos pajamos už medicininį sveikatos patikrinimą </w:t>
      </w:r>
      <w:r w:rsidR="00C07B77" w:rsidRPr="009C3AC7">
        <w:t>8 461,47</w:t>
      </w:r>
      <w:r w:rsidRPr="009C3AC7">
        <w:t xml:space="preserve"> Eur;</w:t>
      </w:r>
    </w:p>
    <w:p w14:paraId="7B9191A5" w14:textId="1E9FF744" w:rsidR="00F96F7B" w:rsidRPr="009C3AC7" w:rsidRDefault="00F96F7B" w:rsidP="00F96F7B">
      <w:pPr>
        <w:ind w:firstLine="567"/>
        <w:jc w:val="both"/>
      </w:pPr>
      <w:r w:rsidRPr="009C3AC7">
        <w:t>2</w:t>
      </w:r>
      <w:r w:rsidR="008407CB" w:rsidRPr="009C3AC7">
        <w:t>.3</w:t>
      </w:r>
      <w:r w:rsidRPr="009C3AC7">
        <w:t xml:space="preserve">. apskaičiuotos pajamos už slaugos paslaugas </w:t>
      </w:r>
      <w:r w:rsidR="00C07B77" w:rsidRPr="009C3AC7">
        <w:t>10 012,20</w:t>
      </w:r>
      <w:r w:rsidRPr="009C3AC7">
        <w:t xml:space="preserve"> Eur;</w:t>
      </w:r>
    </w:p>
    <w:p w14:paraId="1A8D5743" w14:textId="10A46BA4" w:rsidR="00F96F7B" w:rsidRPr="009C3AC7" w:rsidRDefault="00F96F7B" w:rsidP="00F96F7B">
      <w:pPr>
        <w:ind w:firstLine="567"/>
        <w:jc w:val="both"/>
      </w:pPr>
      <w:r w:rsidRPr="009C3AC7">
        <w:t>2.</w:t>
      </w:r>
      <w:r w:rsidR="008407CB" w:rsidRPr="009C3AC7">
        <w:t>4</w:t>
      </w:r>
      <w:r w:rsidRPr="009C3AC7">
        <w:t xml:space="preserve">. apskaičiuotos pajamos už medicinines paslaugas </w:t>
      </w:r>
      <w:r w:rsidR="00C07B77" w:rsidRPr="009C3AC7">
        <w:t>4 12</w:t>
      </w:r>
      <w:r w:rsidR="00E854C9" w:rsidRPr="009C3AC7">
        <w:t>8,24</w:t>
      </w:r>
      <w:r w:rsidRPr="009C3AC7">
        <w:t xml:space="preserve"> Eur;</w:t>
      </w:r>
    </w:p>
    <w:p w14:paraId="3B59639B" w14:textId="2D957FF6" w:rsidR="00F96F7B" w:rsidRPr="009C3AC7" w:rsidRDefault="00F96F7B" w:rsidP="00F96F7B">
      <w:pPr>
        <w:ind w:firstLine="567"/>
        <w:jc w:val="both"/>
      </w:pPr>
      <w:r w:rsidRPr="009C3AC7">
        <w:t>2.</w:t>
      </w:r>
      <w:r w:rsidR="008407CB" w:rsidRPr="009C3AC7">
        <w:t>5</w:t>
      </w:r>
      <w:r w:rsidRPr="009C3AC7">
        <w:t>. apskaičiuotos pajamos už procedūras</w:t>
      </w:r>
      <w:r w:rsidR="00C07B77" w:rsidRPr="009C3AC7">
        <w:t xml:space="preserve"> 6 49</w:t>
      </w:r>
      <w:r w:rsidR="00E854C9" w:rsidRPr="009C3AC7">
        <w:t>6,20</w:t>
      </w:r>
      <w:r w:rsidRPr="009C3AC7">
        <w:t xml:space="preserve"> Eur (</w:t>
      </w:r>
      <w:r w:rsidR="002E2B63" w:rsidRPr="009C3AC7">
        <w:t>perlinė gydomoj</w:t>
      </w:r>
      <w:r w:rsidR="00230638" w:rsidRPr="009C3AC7">
        <w:t>i</w:t>
      </w:r>
      <w:r w:rsidR="002E2B63" w:rsidRPr="009C3AC7">
        <w:t xml:space="preserve"> vonia</w:t>
      </w:r>
      <w:r w:rsidRPr="009C3AC7">
        <w:t xml:space="preserve"> </w:t>
      </w:r>
      <w:r w:rsidR="00E40E22" w:rsidRPr="009C3AC7">
        <w:t>289,28</w:t>
      </w:r>
      <w:r w:rsidRPr="009C3AC7">
        <w:t xml:space="preserve"> Eur, limfodrenažas </w:t>
      </w:r>
      <w:r w:rsidR="00E40E22" w:rsidRPr="009C3AC7">
        <w:t>944,65</w:t>
      </w:r>
      <w:r w:rsidRPr="009C3AC7">
        <w:t xml:space="preserve"> Eur, parafino vonelės </w:t>
      </w:r>
      <w:r w:rsidR="002E2B63" w:rsidRPr="009C3AC7">
        <w:t>2</w:t>
      </w:r>
      <w:r w:rsidR="00E854C9" w:rsidRPr="009C3AC7">
        <w:t>94,35</w:t>
      </w:r>
      <w:r w:rsidRPr="009C3AC7">
        <w:t xml:space="preserve"> Eur, mankšta </w:t>
      </w:r>
      <w:r w:rsidR="00E854C9" w:rsidRPr="009C3AC7">
        <w:t>2 844,04</w:t>
      </w:r>
      <w:r w:rsidRPr="009C3AC7">
        <w:t xml:space="preserve"> Eur, </w:t>
      </w:r>
      <w:r w:rsidR="00433702" w:rsidRPr="009C3AC7">
        <w:t>elektro</w:t>
      </w:r>
      <w:r w:rsidR="00A15EBC" w:rsidRPr="009C3AC7">
        <w:t xml:space="preserve">masažinė lova </w:t>
      </w:r>
      <w:r w:rsidR="00E854C9" w:rsidRPr="009C3AC7">
        <w:t>206,50</w:t>
      </w:r>
      <w:r w:rsidR="00A15EBC" w:rsidRPr="009C3AC7">
        <w:t xml:space="preserve"> Eur, povandeninis masažas </w:t>
      </w:r>
      <w:r w:rsidR="002E2B63" w:rsidRPr="009C3AC7">
        <w:t xml:space="preserve">1 </w:t>
      </w:r>
      <w:r w:rsidR="00E854C9" w:rsidRPr="009C3AC7">
        <w:t>651,03</w:t>
      </w:r>
      <w:r w:rsidR="00A15EBC" w:rsidRPr="009C3AC7">
        <w:t xml:space="preserve"> Eur, </w:t>
      </w:r>
      <w:r w:rsidR="002E2B63" w:rsidRPr="009C3AC7">
        <w:t>magneto terapija 2</w:t>
      </w:r>
      <w:r w:rsidR="00E854C9" w:rsidRPr="009C3AC7">
        <w:t>40,95</w:t>
      </w:r>
      <w:r w:rsidR="002E2B63" w:rsidRPr="009C3AC7">
        <w:t xml:space="preserve"> Eur</w:t>
      </w:r>
      <w:r w:rsidR="00E854C9" w:rsidRPr="009C3AC7">
        <w:t>, fono</w:t>
      </w:r>
      <w:r w:rsidR="00B7701F" w:rsidRPr="009C3AC7">
        <w:t>fo</w:t>
      </w:r>
      <w:r w:rsidR="00E854C9" w:rsidRPr="009C3AC7">
        <w:t>rez</w:t>
      </w:r>
      <w:r w:rsidR="00B7701F" w:rsidRPr="009C3AC7">
        <w:t>ė</w:t>
      </w:r>
      <w:r w:rsidR="00E854C9" w:rsidRPr="009C3AC7">
        <w:t xml:space="preserve"> 25,40 Eur</w:t>
      </w:r>
      <w:r w:rsidRPr="009C3AC7">
        <w:t>);</w:t>
      </w:r>
    </w:p>
    <w:p w14:paraId="6EA5F553" w14:textId="42FD4989" w:rsidR="001475E4" w:rsidRPr="009C3AC7" w:rsidRDefault="001475E4" w:rsidP="00F96F7B">
      <w:pPr>
        <w:ind w:firstLine="567"/>
        <w:jc w:val="both"/>
      </w:pPr>
      <w:r w:rsidRPr="009C3AC7">
        <w:t>2.</w:t>
      </w:r>
      <w:r w:rsidR="008407CB" w:rsidRPr="009C3AC7">
        <w:t>6</w:t>
      </w:r>
      <w:r w:rsidRPr="009C3AC7">
        <w:t>.</w:t>
      </w:r>
      <w:r w:rsidR="00673515" w:rsidRPr="009C3AC7">
        <w:t xml:space="preserve"> </w:t>
      </w:r>
      <w:r w:rsidRPr="009C3AC7">
        <w:t xml:space="preserve">apskaičiuotos pajamos už masažo paslaugas </w:t>
      </w:r>
      <w:r w:rsidR="00C07B77" w:rsidRPr="009C3AC7">
        <w:t>11 325,65</w:t>
      </w:r>
      <w:r w:rsidRPr="009C3AC7">
        <w:t xml:space="preserve"> Eur.</w:t>
      </w:r>
    </w:p>
    <w:p w14:paraId="6F4F08F9" w14:textId="2E213F20" w:rsidR="00F96F7B" w:rsidRPr="009C3AC7" w:rsidRDefault="00F96F7B" w:rsidP="00F96F7B">
      <w:pPr>
        <w:ind w:firstLine="567"/>
        <w:jc w:val="both"/>
      </w:pPr>
      <w:r w:rsidRPr="009C3AC7">
        <w:t xml:space="preserve">2.7. apskaičiuotos pajamos už priėmimą ir konsultavimą </w:t>
      </w:r>
      <w:r w:rsidR="00A15EBC" w:rsidRPr="009C3AC7">
        <w:t>1</w:t>
      </w:r>
      <w:r w:rsidR="00673515" w:rsidRPr="009C3AC7">
        <w:t xml:space="preserve"> </w:t>
      </w:r>
      <w:r w:rsidR="00C07B77" w:rsidRPr="009C3AC7">
        <w:t>506,88</w:t>
      </w:r>
      <w:r w:rsidRPr="009C3AC7">
        <w:t xml:space="preserve"> Eur;</w:t>
      </w:r>
    </w:p>
    <w:p w14:paraId="4618263A" w14:textId="23053956" w:rsidR="00F96F7B" w:rsidRPr="009C3AC7" w:rsidRDefault="00F96F7B" w:rsidP="00F96F7B">
      <w:pPr>
        <w:ind w:firstLine="567"/>
        <w:jc w:val="both"/>
      </w:pPr>
      <w:r w:rsidRPr="009C3AC7">
        <w:t xml:space="preserve">2.8. apskaičiuotos pajamos už laboratorinius tyrimus </w:t>
      </w:r>
      <w:r w:rsidR="00C07B77" w:rsidRPr="009C3AC7">
        <w:t>10 248,33</w:t>
      </w:r>
      <w:r w:rsidRPr="009C3AC7">
        <w:t xml:space="preserve"> Eur;</w:t>
      </w:r>
    </w:p>
    <w:p w14:paraId="277F5CF5" w14:textId="6353B8E2" w:rsidR="00F96F7B" w:rsidRPr="009C3AC7" w:rsidRDefault="00F96F7B" w:rsidP="00F96F7B">
      <w:pPr>
        <w:ind w:firstLine="567"/>
        <w:jc w:val="both"/>
      </w:pPr>
      <w:r w:rsidRPr="009C3AC7">
        <w:lastRenderedPageBreak/>
        <w:t xml:space="preserve">2.9. apskaičiuotos pajamos už kitas paslaugas </w:t>
      </w:r>
      <w:r w:rsidR="00C07B77" w:rsidRPr="009C3AC7">
        <w:t>380</w:t>
      </w:r>
      <w:r w:rsidR="0078372D" w:rsidRPr="009C3AC7">
        <w:t>,00</w:t>
      </w:r>
      <w:r w:rsidRPr="009C3AC7">
        <w:t xml:space="preserve"> Eur;</w:t>
      </w:r>
    </w:p>
    <w:p w14:paraId="5C1DED55" w14:textId="1DBD6737" w:rsidR="00F96F7B" w:rsidRPr="009C3AC7" w:rsidRDefault="00F96F7B" w:rsidP="00F96F7B">
      <w:pPr>
        <w:ind w:firstLine="567"/>
        <w:jc w:val="both"/>
      </w:pPr>
      <w:r w:rsidRPr="009C3AC7">
        <w:t xml:space="preserve">3. </w:t>
      </w:r>
      <w:r w:rsidR="00DC0903" w:rsidRPr="009C3AC7">
        <w:t>gautas finansavimas</w:t>
      </w:r>
      <w:r w:rsidRPr="009C3AC7">
        <w:t xml:space="preserve"> iš savivaldybės biudžeto Neringos savivaldybės Sveikatos priežiūros programos (08) priemonių įgyvendinimui – </w:t>
      </w:r>
      <w:r w:rsidR="008239B2" w:rsidRPr="009C3AC7">
        <w:t>2</w:t>
      </w:r>
      <w:r w:rsidR="00DC0903" w:rsidRPr="009C3AC7">
        <w:t>66 900</w:t>
      </w:r>
      <w:r w:rsidR="00C1119F" w:rsidRPr="009C3AC7">
        <w:t>,00</w:t>
      </w:r>
      <w:r w:rsidRPr="009C3AC7">
        <w:t xml:space="preserve"> Eur</w:t>
      </w:r>
      <w:r w:rsidR="00DC0903" w:rsidRPr="009C3AC7">
        <w:t>;</w:t>
      </w:r>
    </w:p>
    <w:p w14:paraId="0326B6EA" w14:textId="20654CD4" w:rsidR="00F96F7B" w:rsidRPr="009C3AC7" w:rsidRDefault="00F96F7B" w:rsidP="00713A95">
      <w:pPr>
        <w:tabs>
          <w:tab w:val="left" w:pos="851"/>
        </w:tabs>
        <w:ind w:firstLine="567"/>
        <w:jc w:val="both"/>
      </w:pPr>
      <w:r w:rsidRPr="009C3AC7">
        <w:t>4.</w:t>
      </w:r>
      <w:r w:rsidRPr="009C3AC7">
        <w:tab/>
      </w:r>
      <w:r w:rsidR="00DC0903" w:rsidRPr="009C3AC7">
        <w:t>gautas finansavimas</w:t>
      </w:r>
      <w:r w:rsidRPr="009C3AC7">
        <w:t xml:space="preserve"> iš kitų šaltinių (gautos atsargos, parama</w:t>
      </w:r>
      <w:r w:rsidR="00DC0903" w:rsidRPr="009C3AC7">
        <w:t>, finansavimas darbo užmokesčiui kompensuoti</w:t>
      </w:r>
      <w:r w:rsidRPr="009C3AC7">
        <w:t xml:space="preserve">) – </w:t>
      </w:r>
      <w:r w:rsidR="00DC0903" w:rsidRPr="009C3AC7">
        <w:t xml:space="preserve"> 108 998,10</w:t>
      </w:r>
      <w:r w:rsidRPr="009C3AC7">
        <w:t xml:space="preserve"> Eur, iš jų nemokamai gautos vakcinos</w:t>
      </w:r>
      <w:r w:rsidR="00594445" w:rsidRPr="009C3AC7">
        <w:t>, med. priemonės</w:t>
      </w:r>
      <w:r w:rsidRPr="009C3AC7">
        <w:t xml:space="preserve"> </w:t>
      </w:r>
      <w:r w:rsidR="00DC0903" w:rsidRPr="009C3AC7">
        <w:t>9 973,25</w:t>
      </w:r>
      <w:r w:rsidRPr="009C3AC7">
        <w:t xml:space="preserve"> Eur,</w:t>
      </w:r>
      <w:r w:rsidR="00C05D73" w:rsidRPr="009C3AC7">
        <w:t xml:space="preserve"> gautas ūkinis inventorius 600,00 Eur,</w:t>
      </w:r>
      <w:r w:rsidRPr="009C3AC7">
        <w:t xml:space="preserve"> gauta 2 proc. parama </w:t>
      </w:r>
      <w:r w:rsidR="00DC0903" w:rsidRPr="009C3AC7">
        <w:t>240,39</w:t>
      </w:r>
      <w:r w:rsidRPr="009C3AC7">
        <w:t xml:space="preserve"> Eur</w:t>
      </w:r>
      <w:r w:rsidR="00594445" w:rsidRPr="009C3AC7">
        <w:t>, darbo užmokesčio didinimui kompensuoti dėl darbo karantino metu</w:t>
      </w:r>
      <w:r w:rsidR="00D306D0" w:rsidRPr="009C3AC7">
        <w:t xml:space="preserve"> Privalomojo sveikatos draudimo fondo lėšomis</w:t>
      </w:r>
      <w:r w:rsidR="00D306D0" w:rsidRPr="009C3AC7">
        <w:rPr>
          <w:rStyle w:val="Puslapioinaosnuoroda"/>
        </w:rPr>
        <w:footnoteReference w:id="2"/>
      </w:r>
      <w:r w:rsidR="00230638" w:rsidRPr="009C3AC7">
        <w:t xml:space="preserve"> </w:t>
      </w:r>
      <w:r w:rsidR="00B9789B">
        <w:t>–</w:t>
      </w:r>
      <w:r w:rsidR="00C05D73" w:rsidRPr="009C3AC7">
        <w:t>98 184,46</w:t>
      </w:r>
      <w:r w:rsidR="00594445" w:rsidRPr="009C3AC7">
        <w:t xml:space="preserve"> Eur</w:t>
      </w:r>
      <w:r w:rsidRPr="009C3AC7">
        <w:t>);</w:t>
      </w:r>
    </w:p>
    <w:p w14:paraId="2C9813DD" w14:textId="27B9C37F" w:rsidR="005A05EF" w:rsidRPr="009C3AC7" w:rsidRDefault="00F96F7B" w:rsidP="00B7701F">
      <w:pPr>
        <w:tabs>
          <w:tab w:val="left" w:pos="851"/>
        </w:tabs>
        <w:ind w:firstLine="567"/>
        <w:jc w:val="both"/>
        <w:rPr>
          <w:color w:val="000000"/>
        </w:rPr>
      </w:pPr>
      <w:r w:rsidRPr="009C3AC7">
        <w:t>5.</w:t>
      </w:r>
      <w:r w:rsidRPr="009C3AC7">
        <w:tab/>
      </w:r>
      <w:r w:rsidR="005349B4" w:rsidRPr="009C3AC7">
        <w:t>gautas finansavimas</w:t>
      </w:r>
      <w:r w:rsidRPr="009C3AC7">
        <w:t xml:space="preserve"> iš valstybės biudžeto</w:t>
      </w:r>
      <w:r w:rsidR="00594445" w:rsidRPr="009C3AC7">
        <w:t xml:space="preserve"> </w:t>
      </w:r>
      <w:r w:rsidR="005349B4" w:rsidRPr="009C3AC7">
        <w:t>166</w:t>
      </w:r>
      <w:r w:rsidR="005A05EF" w:rsidRPr="009C3AC7">
        <w:t xml:space="preserve"> </w:t>
      </w:r>
      <w:r w:rsidR="005349B4" w:rsidRPr="009C3AC7">
        <w:t>963,10</w:t>
      </w:r>
      <w:r w:rsidR="00594445" w:rsidRPr="009C3AC7">
        <w:t xml:space="preserve"> Eur</w:t>
      </w:r>
      <w:r w:rsidR="00230638" w:rsidRPr="009C3AC7">
        <w:t>,</w:t>
      </w:r>
      <w:r w:rsidR="00594445" w:rsidRPr="009C3AC7">
        <w:t xml:space="preserve"> iš jų</w:t>
      </w:r>
      <w:r w:rsidRPr="009C3AC7">
        <w:t xml:space="preserve"> rezidentų darbo užmokesčiui ir socialinio draudimo įmokoms mokėti</w:t>
      </w:r>
      <w:r w:rsidR="00230638" w:rsidRPr="009C3AC7">
        <w:t xml:space="preserve"> –</w:t>
      </w:r>
      <w:r w:rsidRPr="009C3AC7">
        <w:t xml:space="preserve"> </w:t>
      </w:r>
      <w:r w:rsidR="005349B4" w:rsidRPr="009C3AC7">
        <w:t>9 370,00</w:t>
      </w:r>
      <w:r w:rsidRPr="009C3AC7">
        <w:t xml:space="preserve"> Eur</w:t>
      </w:r>
      <w:r w:rsidR="00594445" w:rsidRPr="009C3AC7">
        <w:t>,</w:t>
      </w:r>
      <w:r w:rsidR="005349B4" w:rsidRPr="009C3AC7">
        <w:t xml:space="preserve"> nemokamai gautos</w:t>
      </w:r>
      <w:r w:rsidR="00594445" w:rsidRPr="009C3AC7">
        <w:t xml:space="preserve"> med</w:t>
      </w:r>
      <w:r w:rsidR="00230638" w:rsidRPr="009C3AC7">
        <w:t>icinos</w:t>
      </w:r>
      <w:r w:rsidR="005A05EF" w:rsidRPr="009C3AC7">
        <w:t xml:space="preserve"> apsaugos</w:t>
      </w:r>
      <w:r w:rsidR="00594445" w:rsidRPr="009C3AC7">
        <w:t xml:space="preserve"> </w:t>
      </w:r>
      <w:r w:rsidR="005A05EF" w:rsidRPr="009C3AC7">
        <w:t>priemonės, vakcinos 60 737,61</w:t>
      </w:r>
      <w:r w:rsidR="00594445" w:rsidRPr="009C3AC7">
        <w:t xml:space="preserve"> Eur</w:t>
      </w:r>
      <w:r w:rsidR="00EF5F47" w:rsidRPr="009C3AC7">
        <w:t xml:space="preserve">, </w:t>
      </w:r>
      <w:r w:rsidR="005A05EF" w:rsidRPr="009C3AC7">
        <w:t xml:space="preserve">darbo užmokesčiui didinimui kompensuoti, </w:t>
      </w:r>
      <w:r w:rsidR="005A05EF" w:rsidRPr="009C3AC7">
        <w:rPr>
          <w:color w:val="000000"/>
        </w:rPr>
        <w:t xml:space="preserve">patirtoms išlaidoms už ėminių COVID-19 ligos tyrimui ar greitajam testui paėmimo mob. punktuose, patirtoms išlaidoms už ėminių COVID-19 </w:t>
      </w:r>
      <w:r w:rsidR="00506DFE" w:rsidRPr="009C3AC7">
        <w:rPr>
          <w:color w:val="000000"/>
        </w:rPr>
        <w:t>ligos</w:t>
      </w:r>
      <w:r w:rsidR="005A05EF" w:rsidRPr="009C3AC7">
        <w:rPr>
          <w:color w:val="000000"/>
        </w:rPr>
        <w:t xml:space="preserve"> tyrimui ar greitajam testui paėmimo </w:t>
      </w:r>
      <w:r w:rsidR="00CA38B4" w:rsidRPr="009C3AC7">
        <w:rPr>
          <w:color w:val="000000"/>
        </w:rPr>
        <w:t>ne</w:t>
      </w:r>
      <w:r w:rsidR="005A05EF" w:rsidRPr="009C3AC7">
        <w:rPr>
          <w:color w:val="000000"/>
        </w:rPr>
        <w:t xml:space="preserve"> mob. punktuose, </w:t>
      </w:r>
      <w:r w:rsidR="00506DFE" w:rsidRPr="009C3AC7">
        <w:rPr>
          <w:color w:val="000000"/>
        </w:rPr>
        <w:t>skiepijimo nuo Covid-19 ligos paslaugas</w:t>
      </w:r>
      <w:r w:rsidR="005A05EF" w:rsidRPr="009C3AC7">
        <w:rPr>
          <w:color w:val="000000"/>
        </w:rPr>
        <w:t xml:space="preserve">, </w:t>
      </w:r>
      <w:r w:rsidR="00506DFE" w:rsidRPr="009C3AC7">
        <w:rPr>
          <w:color w:val="000000"/>
        </w:rPr>
        <w:t>š</w:t>
      </w:r>
      <w:r w:rsidR="005A05EF" w:rsidRPr="009C3AC7">
        <w:rPr>
          <w:color w:val="000000"/>
        </w:rPr>
        <w:t>eimos medicinos ASPP už paskiepytus pirmąja nuo Covid-19 ligos vakcinos doze</w:t>
      </w:r>
      <w:r w:rsidR="00506DFE" w:rsidRPr="009C3AC7">
        <w:rPr>
          <w:color w:val="000000"/>
        </w:rPr>
        <w:t xml:space="preserve"> </w:t>
      </w:r>
      <w:r w:rsidR="00DF3574" w:rsidRPr="009C3AC7">
        <w:rPr>
          <w:color w:val="000000"/>
        </w:rPr>
        <w:br/>
      </w:r>
      <w:r w:rsidR="00506DFE" w:rsidRPr="009C3AC7">
        <w:rPr>
          <w:color w:val="000000"/>
        </w:rPr>
        <w:t>96 855,49 Eur</w:t>
      </w:r>
      <w:r w:rsidR="00B7701F" w:rsidRPr="009C3AC7">
        <w:rPr>
          <w:color w:val="000000"/>
        </w:rPr>
        <w:t>;</w:t>
      </w:r>
    </w:p>
    <w:p w14:paraId="6734101D" w14:textId="63F92CFC" w:rsidR="00D3223B" w:rsidRPr="009C3AC7" w:rsidRDefault="00D3223B" w:rsidP="005A05EF">
      <w:pPr>
        <w:jc w:val="both"/>
        <w:rPr>
          <w:i/>
          <w:iCs/>
          <w:color w:val="000000"/>
        </w:rPr>
      </w:pPr>
      <w:r w:rsidRPr="009C3AC7">
        <w:rPr>
          <w:color w:val="000000"/>
        </w:rPr>
        <w:tab/>
        <w:t xml:space="preserve">6. gautas finansavimas iš tarptautinių </w:t>
      </w:r>
      <w:r w:rsidR="00323F56" w:rsidRPr="009C3AC7">
        <w:rPr>
          <w:color w:val="000000"/>
        </w:rPr>
        <w:t>organizacijų 5051,85 Eur (nemokamai gautos vakcinos).</w:t>
      </w:r>
    </w:p>
    <w:p w14:paraId="16531DF1" w14:textId="77777777" w:rsidR="00AF4890" w:rsidRPr="009C3AC7" w:rsidRDefault="00AF4890" w:rsidP="008239B2">
      <w:pPr>
        <w:tabs>
          <w:tab w:val="left" w:pos="993"/>
        </w:tabs>
        <w:ind w:firstLine="567"/>
        <w:jc w:val="both"/>
        <w:rPr>
          <w:i/>
          <w:iCs/>
        </w:rPr>
      </w:pPr>
    </w:p>
    <w:bookmarkEnd w:id="0"/>
    <w:p w14:paraId="3D14B5AC" w14:textId="761F6B84" w:rsidR="00F96F7B" w:rsidRPr="009C3AC7" w:rsidRDefault="00F96F7B" w:rsidP="00AF4890">
      <w:pPr>
        <w:jc w:val="center"/>
        <w:rPr>
          <w:b/>
        </w:rPr>
      </w:pPr>
      <w:r w:rsidRPr="009C3AC7">
        <w:rPr>
          <w:b/>
        </w:rPr>
        <w:t>Neringos PSPC pajamų struktūros lyginamoji analizė</w:t>
      </w:r>
    </w:p>
    <w:p w14:paraId="425C598D" w14:textId="77777777" w:rsidR="00091D67" w:rsidRPr="009C3AC7" w:rsidRDefault="00091D67" w:rsidP="00F96F7B">
      <w:pPr>
        <w:ind w:firstLine="567"/>
        <w:jc w:val="center"/>
        <w:rPr>
          <w:b/>
        </w:rPr>
      </w:pPr>
    </w:p>
    <w:p w14:paraId="5E8A582E" w14:textId="77777777" w:rsidR="00F96F7B" w:rsidRPr="009C3AC7" w:rsidRDefault="00F96F7B" w:rsidP="00F96F7B">
      <w:pPr>
        <w:ind w:firstLine="567"/>
        <w:jc w:val="both"/>
      </w:pPr>
    </w:p>
    <w:tbl>
      <w:tblPr>
        <w:tblStyle w:val="Lentelstinklelis"/>
        <w:tblW w:w="0" w:type="auto"/>
        <w:tblLook w:val="04A0" w:firstRow="1" w:lastRow="0" w:firstColumn="1" w:lastColumn="0" w:noHBand="0" w:noVBand="1"/>
      </w:tblPr>
      <w:tblGrid>
        <w:gridCol w:w="2405"/>
        <w:gridCol w:w="1484"/>
        <w:gridCol w:w="1958"/>
        <w:gridCol w:w="2025"/>
        <w:gridCol w:w="2046"/>
      </w:tblGrid>
      <w:tr w:rsidR="00F96F7B" w:rsidRPr="009C3AC7" w14:paraId="65F1B6C8" w14:textId="77777777" w:rsidTr="0064474E">
        <w:tc>
          <w:tcPr>
            <w:tcW w:w="2405" w:type="dxa"/>
          </w:tcPr>
          <w:p w14:paraId="7C65CE99" w14:textId="77777777" w:rsidR="00F96F7B" w:rsidRPr="009C3AC7" w:rsidRDefault="00F96F7B" w:rsidP="00F96F7B">
            <w:pPr>
              <w:jc w:val="center"/>
              <w:rPr>
                <w:rFonts w:ascii="Times New Roman" w:eastAsia="Times New Roman" w:hAnsi="Times New Roman" w:cs="Times New Roman"/>
                <w:b/>
                <w:bCs/>
              </w:rPr>
            </w:pPr>
            <w:r w:rsidRPr="009C3AC7">
              <w:rPr>
                <w:rFonts w:ascii="Times New Roman" w:eastAsia="Times New Roman" w:hAnsi="Times New Roman" w:cs="Times New Roman"/>
                <w:b/>
                <w:bCs/>
              </w:rPr>
              <w:t>Įstaigos gautos lėšos</w:t>
            </w:r>
          </w:p>
        </w:tc>
        <w:tc>
          <w:tcPr>
            <w:tcW w:w="1484" w:type="dxa"/>
          </w:tcPr>
          <w:p w14:paraId="68B3C761" w14:textId="32B0BB32" w:rsidR="00F96F7B" w:rsidRPr="009C3AC7" w:rsidRDefault="00F96F7B" w:rsidP="00F96F7B">
            <w:pPr>
              <w:jc w:val="center"/>
              <w:rPr>
                <w:rFonts w:ascii="Times New Roman" w:eastAsia="Times New Roman" w:hAnsi="Times New Roman" w:cs="Times New Roman"/>
                <w:b/>
                <w:bCs/>
              </w:rPr>
            </w:pPr>
            <w:r w:rsidRPr="009C3AC7">
              <w:rPr>
                <w:rFonts w:ascii="Times New Roman" w:eastAsia="Times New Roman" w:hAnsi="Times New Roman" w:cs="Times New Roman"/>
                <w:b/>
                <w:bCs/>
              </w:rPr>
              <w:t>20</w:t>
            </w:r>
            <w:r w:rsidR="00145CC8" w:rsidRPr="009C3AC7">
              <w:rPr>
                <w:rFonts w:ascii="Times New Roman" w:eastAsia="Times New Roman" w:hAnsi="Times New Roman" w:cs="Times New Roman"/>
                <w:b/>
                <w:bCs/>
              </w:rPr>
              <w:t>20</w:t>
            </w:r>
            <w:r w:rsidRPr="009C3AC7">
              <w:rPr>
                <w:rFonts w:ascii="Times New Roman" w:eastAsia="Times New Roman" w:hAnsi="Times New Roman" w:cs="Times New Roman"/>
                <w:b/>
                <w:bCs/>
              </w:rPr>
              <w:t xml:space="preserve"> m</w:t>
            </w:r>
            <w:r w:rsidR="00CB37DF" w:rsidRPr="009C3AC7">
              <w:rPr>
                <w:rFonts w:ascii="Times New Roman" w:eastAsia="Times New Roman" w:hAnsi="Times New Roman" w:cs="Times New Roman"/>
                <w:b/>
                <w:bCs/>
              </w:rPr>
              <w:t>.</w:t>
            </w:r>
          </w:p>
        </w:tc>
        <w:tc>
          <w:tcPr>
            <w:tcW w:w="1958" w:type="dxa"/>
          </w:tcPr>
          <w:p w14:paraId="53F4C18F" w14:textId="41D448BA" w:rsidR="00F96F7B" w:rsidRPr="009C3AC7" w:rsidRDefault="00F96F7B" w:rsidP="00F96F7B">
            <w:pPr>
              <w:jc w:val="center"/>
              <w:rPr>
                <w:rFonts w:ascii="Times New Roman" w:eastAsia="Times New Roman" w:hAnsi="Times New Roman" w:cs="Times New Roman"/>
                <w:b/>
                <w:bCs/>
              </w:rPr>
            </w:pPr>
            <w:r w:rsidRPr="009C3AC7">
              <w:rPr>
                <w:rFonts w:ascii="Times New Roman" w:eastAsia="Times New Roman" w:hAnsi="Times New Roman" w:cs="Times New Roman"/>
                <w:b/>
                <w:bCs/>
              </w:rPr>
              <w:t>20</w:t>
            </w:r>
            <w:r w:rsidR="00CB37DF" w:rsidRPr="009C3AC7">
              <w:rPr>
                <w:rFonts w:ascii="Times New Roman" w:eastAsia="Times New Roman" w:hAnsi="Times New Roman" w:cs="Times New Roman"/>
                <w:b/>
                <w:bCs/>
              </w:rPr>
              <w:t>2</w:t>
            </w:r>
            <w:r w:rsidR="00145CC8" w:rsidRPr="009C3AC7">
              <w:rPr>
                <w:rFonts w:ascii="Times New Roman" w:eastAsia="Times New Roman" w:hAnsi="Times New Roman" w:cs="Times New Roman"/>
                <w:b/>
                <w:bCs/>
              </w:rPr>
              <w:t>1</w:t>
            </w:r>
            <w:r w:rsidR="00567986" w:rsidRPr="009C3AC7">
              <w:rPr>
                <w:rFonts w:ascii="Times New Roman" w:eastAsia="Times New Roman" w:hAnsi="Times New Roman" w:cs="Times New Roman"/>
                <w:b/>
                <w:bCs/>
              </w:rPr>
              <w:t xml:space="preserve"> </w:t>
            </w:r>
            <w:r w:rsidRPr="009C3AC7">
              <w:rPr>
                <w:rFonts w:ascii="Times New Roman" w:eastAsia="Times New Roman" w:hAnsi="Times New Roman" w:cs="Times New Roman"/>
                <w:b/>
                <w:bCs/>
              </w:rPr>
              <w:t>m.</w:t>
            </w:r>
          </w:p>
        </w:tc>
        <w:tc>
          <w:tcPr>
            <w:tcW w:w="2025" w:type="dxa"/>
          </w:tcPr>
          <w:p w14:paraId="6FB2654F" w14:textId="77777777" w:rsidR="00F96F7B" w:rsidRPr="009C3AC7" w:rsidRDefault="00F96F7B" w:rsidP="00F96F7B">
            <w:pPr>
              <w:jc w:val="center"/>
              <w:rPr>
                <w:rFonts w:ascii="Times New Roman" w:eastAsia="Times New Roman" w:hAnsi="Times New Roman" w:cs="Times New Roman"/>
                <w:b/>
                <w:bCs/>
              </w:rPr>
            </w:pPr>
            <w:r w:rsidRPr="009C3AC7">
              <w:rPr>
                <w:rFonts w:ascii="Times New Roman" w:eastAsia="Times New Roman" w:hAnsi="Times New Roman" w:cs="Times New Roman"/>
                <w:b/>
                <w:bCs/>
              </w:rPr>
              <w:t>Skirtumas</w:t>
            </w:r>
          </w:p>
        </w:tc>
        <w:tc>
          <w:tcPr>
            <w:tcW w:w="2046" w:type="dxa"/>
          </w:tcPr>
          <w:p w14:paraId="29E58A27" w14:textId="77777777" w:rsidR="00F96F7B" w:rsidRPr="009C3AC7" w:rsidRDefault="00F96F7B" w:rsidP="00F96F7B">
            <w:pPr>
              <w:jc w:val="center"/>
              <w:rPr>
                <w:rFonts w:ascii="Times New Roman" w:eastAsia="Times New Roman" w:hAnsi="Times New Roman" w:cs="Times New Roman"/>
                <w:b/>
                <w:bCs/>
              </w:rPr>
            </w:pPr>
            <w:r w:rsidRPr="009C3AC7">
              <w:rPr>
                <w:rFonts w:ascii="Times New Roman" w:eastAsia="Times New Roman" w:hAnsi="Times New Roman" w:cs="Times New Roman"/>
                <w:b/>
                <w:bCs/>
              </w:rPr>
              <w:t>Pokytis procentais</w:t>
            </w:r>
          </w:p>
        </w:tc>
      </w:tr>
      <w:tr w:rsidR="00F96F7B" w:rsidRPr="009C3AC7" w14:paraId="581FA034" w14:textId="77777777" w:rsidTr="0064474E">
        <w:tc>
          <w:tcPr>
            <w:tcW w:w="2405" w:type="dxa"/>
          </w:tcPr>
          <w:p w14:paraId="04FE14D7" w14:textId="77777777" w:rsidR="00F96F7B" w:rsidRPr="009C3AC7" w:rsidRDefault="00F96F7B" w:rsidP="00F96F7B">
            <w:pPr>
              <w:jc w:val="center"/>
              <w:rPr>
                <w:rFonts w:ascii="Times New Roman" w:eastAsia="Times New Roman" w:hAnsi="Times New Roman" w:cs="Times New Roman"/>
              </w:rPr>
            </w:pPr>
            <w:r w:rsidRPr="009C3AC7">
              <w:rPr>
                <w:rFonts w:ascii="Times New Roman" w:eastAsia="Times New Roman" w:hAnsi="Times New Roman" w:cs="Times New Roman"/>
              </w:rPr>
              <w:t>Pajamos iš PSDF biudžeto</w:t>
            </w:r>
          </w:p>
        </w:tc>
        <w:tc>
          <w:tcPr>
            <w:tcW w:w="1484" w:type="dxa"/>
          </w:tcPr>
          <w:p w14:paraId="22722B16" w14:textId="5DFA53A1" w:rsidR="00F96F7B" w:rsidRPr="009C3AC7" w:rsidRDefault="00145CC8" w:rsidP="00F96F7B">
            <w:pPr>
              <w:jc w:val="center"/>
              <w:rPr>
                <w:rFonts w:ascii="Times New Roman" w:eastAsia="Times New Roman" w:hAnsi="Times New Roman" w:cs="Times New Roman"/>
              </w:rPr>
            </w:pPr>
            <w:r w:rsidRPr="009C3AC7">
              <w:rPr>
                <w:rFonts w:ascii="Times New Roman" w:eastAsia="Times New Roman" w:hAnsi="Times New Roman" w:cs="Times New Roman"/>
              </w:rPr>
              <w:t>748 498,54</w:t>
            </w:r>
          </w:p>
        </w:tc>
        <w:tc>
          <w:tcPr>
            <w:tcW w:w="1958" w:type="dxa"/>
          </w:tcPr>
          <w:p w14:paraId="10EBC090" w14:textId="063FA44C" w:rsidR="00F96F7B" w:rsidRPr="009C3AC7" w:rsidRDefault="00145CC8" w:rsidP="00F96F7B">
            <w:pPr>
              <w:jc w:val="center"/>
              <w:rPr>
                <w:rFonts w:ascii="Times New Roman" w:eastAsia="Times New Roman" w:hAnsi="Times New Roman" w:cs="Times New Roman"/>
              </w:rPr>
            </w:pPr>
            <w:r w:rsidRPr="009C3AC7">
              <w:rPr>
                <w:rFonts w:ascii="Times New Roman" w:eastAsia="Times New Roman" w:hAnsi="Times New Roman" w:cs="Times New Roman"/>
              </w:rPr>
              <w:t>901 440,21</w:t>
            </w:r>
          </w:p>
        </w:tc>
        <w:tc>
          <w:tcPr>
            <w:tcW w:w="2025" w:type="dxa"/>
          </w:tcPr>
          <w:p w14:paraId="3F47186C" w14:textId="07F4CDB7" w:rsidR="00F96F7B" w:rsidRPr="009C3AC7" w:rsidRDefault="001475E4" w:rsidP="00F96F7B">
            <w:pPr>
              <w:jc w:val="center"/>
              <w:rPr>
                <w:rFonts w:ascii="Times New Roman" w:eastAsia="Times New Roman" w:hAnsi="Times New Roman" w:cs="Times New Roman"/>
              </w:rPr>
            </w:pPr>
            <w:r w:rsidRPr="009C3AC7">
              <w:rPr>
                <w:rFonts w:ascii="Times New Roman" w:eastAsia="Times New Roman" w:hAnsi="Times New Roman" w:cs="Times New Roman"/>
              </w:rPr>
              <w:t>+</w:t>
            </w:r>
            <w:r w:rsidR="00145CC8" w:rsidRPr="009C3AC7">
              <w:rPr>
                <w:rFonts w:ascii="Times New Roman" w:eastAsia="Times New Roman" w:hAnsi="Times New Roman" w:cs="Times New Roman"/>
              </w:rPr>
              <w:t>152 941,67</w:t>
            </w:r>
          </w:p>
        </w:tc>
        <w:tc>
          <w:tcPr>
            <w:tcW w:w="2046" w:type="dxa"/>
          </w:tcPr>
          <w:p w14:paraId="2580C559" w14:textId="46B9330A" w:rsidR="00F96F7B" w:rsidRPr="009C3AC7" w:rsidRDefault="001E5E71" w:rsidP="00F96F7B">
            <w:pPr>
              <w:jc w:val="center"/>
              <w:rPr>
                <w:rFonts w:ascii="Times New Roman" w:eastAsia="Times New Roman" w:hAnsi="Times New Roman" w:cs="Times New Roman"/>
              </w:rPr>
            </w:pPr>
            <w:r w:rsidRPr="009C3AC7">
              <w:rPr>
                <w:rFonts w:ascii="Times New Roman" w:eastAsia="Times New Roman" w:hAnsi="Times New Roman" w:cs="Times New Roman"/>
              </w:rPr>
              <w:t>+</w:t>
            </w:r>
            <w:r w:rsidR="00145CC8" w:rsidRPr="009C3AC7">
              <w:rPr>
                <w:rFonts w:ascii="Times New Roman" w:eastAsia="Times New Roman" w:hAnsi="Times New Roman" w:cs="Times New Roman"/>
              </w:rPr>
              <w:t xml:space="preserve">20,43 </w:t>
            </w:r>
            <w:r w:rsidR="00F96F7B" w:rsidRPr="009C3AC7">
              <w:rPr>
                <w:rFonts w:ascii="Times New Roman" w:eastAsia="Times New Roman" w:hAnsi="Times New Roman" w:cs="Times New Roman"/>
              </w:rPr>
              <w:t>%</w:t>
            </w:r>
          </w:p>
        </w:tc>
      </w:tr>
      <w:tr w:rsidR="00F96F7B" w:rsidRPr="009C3AC7" w14:paraId="74154173" w14:textId="77777777" w:rsidTr="0064474E">
        <w:tc>
          <w:tcPr>
            <w:tcW w:w="2405" w:type="dxa"/>
          </w:tcPr>
          <w:p w14:paraId="5051BF8F" w14:textId="77777777" w:rsidR="00F96F7B" w:rsidRPr="009C3AC7" w:rsidRDefault="00F96F7B" w:rsidP="00F96F7B">
            <w:pPr>
              <w:jc w:val="center"/>
              <w:rPr>
                <w:rFonts w:ascii="Times New Roman" w:eastAsia="Times New Roman" w:hAnsi="Times New Roman" w:cs="Times New Roman"/>
              </w:rPr>
            </w:pPr>
            <w:r w:rsidRPr="009C3AC7">
              <w:rPr>
                <w:rFonts w:ascii="Times New Roman" w:eastAsia="Times New Roman" w:hAnsi="Times New Roman" w:cs="Times New Roman"/>
              </w:rPr>
              <w:t>Pajamos už suteiktas mokamas paslaugas iš kitų fizinių ir juridinių asmenų</w:t>
            </w:r>
          </w:p>
        </w:tc>
        <w:tc>
          <w:tcPr>
            <w:tcW w:w="1484" w:type="dxa"/>
          </w:tcPr>
          <w:p w14:paraId="6B2EB487" w14:textId="4A2C8ADF" w:rsidR="00F96F7B" w:rsidRPr="009C3AC7" w:rsidRDefault="00145CC8" w:rsidP="00F96F7B">
            <w:pPr>
              <w:jc w:val="center"/>
              <w:rPr>
                <w:rFonts w:ascii="Times New Roman" w:eastAsia="Times New Roman" w:hAnsi="Times New Roman" w:cs="Times New Roman"/>
              </w:rPr>
            </w:pPr>
            <w:r w:rsidRPr="009C3AC7">
              <w:rPr>
                <w:rFonts w:ascii="Times New Roman" w:eastAsia="Times New Roman" w:hAnsi="Times New Roman" w:cs="Times New Roman"/>
              </w:rPr>
              <w:t>36 088,97</w:t>
            </w:r>
          </w:p>
        </w:tc>
        <w:tc>
          <w:tcPr>
            <w:tcW w:w="1958" w:type="dxa"/>
          </w:tcPr>
          <w:p w14:paraId="79D0883D" w14:textId="6B94ED85" w:rsidR="00F96F7B" w:rsidRPr="009C3AC7" w:rsidRDefault="00145CC8" w:rsidP="00F96F7B">
            <w:pPr>
              <w:jc w:val="center"/>
              <w:rPr>
                <w:rFonts w:ascii="Times New Roman" w:eastAsia="Times New Roman" w:hAnsi="Times New Roman" w:cs="Times New Roman"/>
              </w:rPr>
            </w:pPr>
            <w:r w:rsidRPr="009C3AC7">
              <w:rPr>
                <w:rFonts w:ascii="Times New Roman" w:eastAsia="Times New Roman" w:hAnsi="Times New Roman" w:cs="Times New Roman"/>
              </w:rPr>
              <w:t>58 587,88</w:t>
            </w:r>
          </w:p>
        </w:tc>
        <w:tc>
          <w:tcPr>
            <w:tcW w:w="2025" w:type="dxa"/>
          </w:tcPr>
          <w:p w14:paraId="50078D43" w14:textId="6648DB73" w:rsidR="00F96F7B" w:rsidRPr="009C3AC7" w:rsidRDefault="00145CC8" w:rsidP="00F96F7B">
            <w:pPr>
              <w:jc w:val="center"/>
              <w:rPr>
                <w:rFonts w:ascii="Times New Roman" w:eastAsia="Times New Roman" w:hAnsi="Times New Roman" w:cs="Times New Roman"/>
              </w:rPr>
            </w:pPr>
            <w:r w:rsidRPr="009C3AC7">
              <w:rPr>
                <w:rFonts w:ascii="Times New Roman" w:eastAsia="Times New Roman" w:hAnsi="Times New Roman" w:cs="Times New Roman"/>
              </w:rPr>
              <w:t>+22 498,91</w:t>
            </w:r>
          </w:p>
        </w:tc>
        <w:tc>
          <w:tcPr>
            <w:tcW w:w="2046" w:type="dxa"/>
          </w:tcPr>
          <w:p w14:paraId="4CC31BFB" w14:textId="21611817" w:rsidR="00F96F7B" w:rsidRPr="009C3AC7" w:rsidRDefault="00CC58B4" w:rsidP="00F96F7B">
            <w:pPr>
              <w:jc w:val="center"/>
              <w:rPr>
                <w:rFonts w:ascii="Times New Roman" w:eastAsia="Times New Roman" w:hAnsi="Times New Roman" w:cs="Times New Roman"/>
              </w:rPr>
            </w:pPr>
            <w:r w:rsidRPr="009C3AC7">
              <w:rPr>
                <w:rFonts w:ascii="Times New Roman" w:eastAsia="Times New Roman" w:hAnsi="Times New Roman" w:cs="Times New Roman"/>
              </w:rPr>
              <w:t xml:space="preserve">+62,34 </w:t>
            </w:r>
            <w:r w:rsidR="00F96F7B" w:rsidRPr="009C3AC7">
              <w:rPr>
                <w:rFonts w:ascii="Times New Roman" w:eastAsia="Times New Roman" w:hAnsi="Times New Roman" w:cs="Times New Roman"/>
              </w:rPr>
              <w:t>%</w:t>
            </w:r>
          </w:p>
        </w:tc>
      </w:tr>
      <w:tr w:rsidR="00F96F7B" w:rsidRPr="009C3AC7" w14:paraId="29E51CFC" w14:textId="77777777" w:rsidTr="0064474E">
        <w:tc>
          <w:tcPr>
            <w:tcW w:w="2405" w:type="dxa"/>
          </w:tcPr>
          <w:p w14:paraId="6E7CCDBD" w14:textId="34828E43" w:rsidR="00F96F7B" w:rsidRPr="009C3AC7" w:rsidRDefault="00C1119F" w:rsidP="00F06AF0">
            <w:pPr>
              <w:jc w:val="center"/>
              <w:rPr>
                <w:rFonts w:ascii="Times New Roman" w:eastAsia="Times New Roman" w:hAnsi="Times New Roman" w:cs="Times New Roman"/>
              </w:rPr>
            </w:pPr>
            <w:r w:rsidRPr="009C3AC7">
              <w:rPr>
                <w:rFonts w:ascii="Times New Roman" w:eastAsia="Times New Roman" w:hAnsi="Times New Roman" w:cs="Times New Roman"/>
              </w:rPr>
              <w:t>P</w:t>
            </w:r>
            <w:r w:rsidR="00F96F7B" w:rsidRPr="009C3AC7">
              <w:rPr>
                <w:rFonts w:ascii="Times New Roman" w:eastAsia="Times New Roman" w:hAnsi="Times New Roman" w:cs="Times New Roman"/>
              </w:rPr>
              <w:t>ajamos iš Neringos savivaldybės biudžeto</w:t>
            </w:r>
          </w:p>
        </w:tc>
        <w:tc>
          <w:tcPr>
            <w:tcW w:w="1484" w:type="dxa"/>
          </w:tcPr>
          <w:p w14:paraId="44EDBA54" w14:textId="17CD5626" w:rsidR="00F96F7B" w:rsidRPr="009C3AC7" w:rsidRDefault="00145CC8" w:rsidP="00F96F7B">
            <w:pPr>
              <w:jc w:val="center"/>
              <w:rPr>
                <w:rFonts w:ascii="Times New Roman" w:eastAsia="Times New Roman" w:hAnsi="Times New Roman" w:cs="Times New Roman"/>
              </w:rPr>
            </w:pPr>
            <w:r w:rsidRPr="009C3AC7">
              <w:rPr>
                <w:rFonts w:ascii="Times New Roman" w:eastAsia="Times New Roman" w:hAnsi="Times New Roman" w:cs="Times New Roman"/>
              </w:rPr>
              <w:t>232 136,72</w:t>
            </w:r>
          </w:p>
        </w:tc>
        <w:tc>
          <w:tcPr>
            <w:tcW w:w="1958" w:type="dxa"/>
          </w:tcPr>
          <w:p w14:paraId="6F120D4B" w14:textId="2E466F73" w:rsidR="00F96F7B" w:rsidRPr="009C3AC7" w:rsidRDefault="00344719" w:rsidP="00F96F7B">
            <w:pPr>
              <w:jc w:val="center"/>
              <w:rPr>
                <w:rFonts w:ascii="Times New Roman" w:eastAsia="Times New Roman" w:hAnsi="Times New Roman" w:cs="Times New Roman"/>
              </w:rPr>
            </w:pPr>
            <w:r w:rsidRPr="009C3AC7">
              <w:rPr>
                <w:rFonts w:ascii="Times New Roman" w:eastAsia="Times New Roman" w:hAnsi="Times New Roman" w:cs="Times New Roman"/>
              </w:rPr>
              <w:t>2</w:t>
            </w:r>
            <w:r w:rsidR="00C1119F" w:rsidRPr="009C3AC7">
              <w:rPr>
                <w:rFonts w:ascii="Times New Roman" w:eastAsia="Times New Roman" w:hAnsi="Times New Roman" w:cs="Times New Roman"/>
              </w:rPr>
              <w:t>66 900,00</w:t>
            </w:r>
          </w:p>
        </w:tc>
        <w:tc>
          <w:tcPr>
            <w:tcW w:w="2025" w:type="dxa"/>
          </w:tcPr>
          <w:p w14:paraId="2294DBDA" w14:textId="34229EE2" w:rsidR="00F96F7B" w:rsidRPr="009C3AC7" w:rsidRDefault="00C1119F" w:rsidP="00F96F7B">
            <w:pPr>
              <w:jc w:val="center"/>
              <w:rPr>
                <w:rFonts w:ascii="Times New Roman" w:eastAsia="Times New Roman" w:hAnsi="Times New Roman" w:cs="Times New Roman"/>
              </w:rPr>
            </w:pPr>
            <w:r w:rsidRPr="009C3AC7">
              <w:rPr>
                <w:rFonts w:ascii="Times New Roman" w:eastAsia="Times New Roman" w:hAnsi="Times New Roman" w:cs="Times New Roman"/>
              </w:rPr>
              <w:t>+34 763,28</w:t>
            </w:r>
          </w:p>
        </w:tc>
        <w:tc>
          <w:tcPr>
            <w:tcW w:w="2046" w:type="dxa"/>
          </w:tcPr>
          <w:p w14:paraId="43C2F95C" w14:textId="095569AF" w:rsidR="00F96F7B" w:rsidRPr="009C3AC7" w:rsidRDefault="00C1119F" w:rsidP="00F96F7B">
            <w:pPr>
              <w:jc w:val="center"/>
              <w:rPr>
                <w:rFonts w:ascii="Times New Roman" w:eastAsia="Times New Roman" w:hAnsi="Times New Roman" w:cs="Times New Roman"/>
              </w:rPr>
            </w:pPr>
            <w:r w:rsidRPr="009C3AC7">
              <w:rPr>
                <w:rFonts w:ascii="Times New Roman" w:eastAsia="Times New Roman" w:hAnsi="Times New Roman" w:cs="Times New Roman"/>
              </w:rPr>
              <w:t xml:space="preserve">+14,98 </w:t>
            </w:r>
            <w:r w:rsidR="00F96F7B" w:rsidRPr="009C3AC7">
              <w:rPr>
                <w:rFonts w:ascii="Times New Roman" w:eastAsia="Times New Roman" w:hAnsi="Times New Roman" w:cs="Times New Roman"/>
              </w:rPr>
              <w:t>%</w:t>
            </w:r>
          </w:p>
        </w:tc>
      </w:tr>
      <w:tr w:rsidR="00F96F7B" w:rsidRPr="009C3AC7" w14:paraId="2FD32085" w14:textId="77777777" w:rsidTr="0064474E">
        <w:tc>
          <w:tcPr>
            <w:tcW w:w="2405" w:type="dxa"/>
          </w:tcPr>
          <w:p w14:paraId="5595ABDD" w14:textId="1142F186" w:rsidR="00F96F7B" w:rsidRPr="009C3AC7" w:rsidRDefault="00C1119F" w:rsidP="00F96F7B">
            <w:pPr>
              <w:jc w:val="center"/>
              <w:rPr>
                <w:rFonts w:ascii="Times New Roman" w:eastAsia="Times New Roman" w:hAnsi="Times New Roman" w:cs="Times New Roman"/>
              </w:rPr>
            </w:pPr>
            <w:r w:rsidRPr="009C3AC7">
              <w:rPr>
                <w:rFonts w:ascii="Times New Roman" w:eastAsia="Times New Roman" w:hAnsi="Times New Roman" w:cs="Times New Roman"/>
              </w:rPr>
              <w:t>P</w:t>
            </w:r>
            <w:r w:rsidR="00F96F7B" w:rsidRPr="009C3AC7">
              <w:rPr>
                <w:rFonts w:ascii="Times New Roman" w:eastAsia="Times New Roman" w:hAnsi="Times New Roman" w:cs="Times New Roman"/>
              </w:rPr>
              <w:t>ajamos iš kitų šaltinių</w:t>
            </w:r>
          </w:p>
        </w:tc>
        <w:tc>
          <w:tcPr>
            <w:tcW w:w="1484" w:type="dxa"/>
          </w:tcPr>
          <w:p w14:paraId="69EF1F97" w14:textId="052488AE" w:rsidR="00F96F7B" w:rsidRPr="009C3AC7" w:rsidRDefault="00145CC8" w:rsidP="00F96F7B">
            <w:pPr>
              <w:jc w:val="center"/>
              <w:rPr>
                <w:rFonts w:ascii="Times New Roman" w:eastAsia="Times New Roman" w:hAnsi="Times New Roman" w:cs="Times New Roman"/>
              </w:rPr>
            </w:pPr>
            <w:r w:rsidRPr="009C3AC7">
              <w:rPr>
                <w:rFonts w:ascii="Times New Roman" w:eastAsia="Times New Roman" w:hAnsi="Times New Roman" w:cs="Times New Roman"/>
              </w:rPr>
              <w:t>39 434 92</w:t>
            </w:r>
          </w:p>
        </w:tc>
        <w:tc>
          <w:tcPr>
            <w:tcW w:w="1958" w:type="dxa"/>
          </w:tcPr>
          <w:p w14:paraId="159BC9B0" w14:textId="58392C0E" w:rsidR="00F96F7B" w:rsidRPr="009C3AC7" w:rsidRDefault="00C1119F" w:rsidP="00F96F7B">
            <w:pPr>
              <w:jc w:val="center"/>
              <w:rPr>
                <w:rFonts w:ascii="Times New Roman" w:eastAsia="Times New Roman" w:hAnsi="Times New Roman" w:cs="Times New Roman"/>
              </w:rPr>
            </w:pPr>
            <w:r w:rsidRPr="009C3AC7">
              <w:rPr>
                <w:rFonts w:ascii="Times New Roman" w:eastAsia="Times New Roman" w:hAnsi="Times New Roman" w:cs="Times New Roman"/>
              </w:rPr>
              <w:t>108 998,10</w:t>
            </w:r>
          </w:p>
        </w:tc>
        <w:tc>
          <w:tcPr>
            <w:tcW w:w="2025" w:type="dxa"/>
          </w:tcPr>
          <w:p w14:paraId="149512A6" w14:textId="1BA60F40" w:rsidR="00F96F7B" w:rsidRPr="009C3AC7" w:rsidRDefault="00344719" w:rsidP="00F96F7B">
            <w:pPr>
              <w:jc w:val="center"/>
              <w:rPr>
                <w:rFonts w:ascii="Times New Roman" w:eastAsia="Times New Roman" w:hAnsi="Times New Roman" w:cs="Times New Roman"/>
              </w:rPr>
            </w:pPr>
            <w:r w:rsidRPr="009C3AC7">
              <w:rPr>
                <w:rFonts w:ascii="Times New Roman" w:eastAsia="Times New Roman" w:hAnsi="Times New Roman" w:cs="Times New Roman"/>
              </w:rPr>
              <w:t>+</w:t>
            </w:r>
            <w:r w:rsidR="00C1119F" w:rsidRPr="009C3AC7">
              <w:rPr>
                <w:rFonts w:ascii="Times New Roman" w:eastAsia="Times New Roman" w:hAnsi="Times New Roman" w:cs="Times New Roman"/>
              </w:rPr>
              <w:t>69 563,18</w:t>
            </w:r>
          </w:p>
        </w:tc>
        <w:tc>
          <w:tcPr>
            <w:tcW w:w="2046" w:type="dxa"/>
          </w:tcPr>
          <w:p w14:paraId="35F91624" w14:textId="23D5D5F1" w:rsidR="00F96F7B" w:rsidRPr="009C3AC7" w:rsidRDefault="00344719" w:rsidP="00F96F7B">
            <w:pPr>
              <w:jc w:val="center"/>
              <w:rPr>
                <w:rFonts w:ascii="Times New Roman" w:eastAsia="Times New Roman" w:hAnsi="Times New Roman" w:cs="Times New Roman"/>
              </w:rPr>
            </w:pPr>
            <w:r w:rsidRPr="009C3AC7">
              <w:rPr>
                <w:rFonts w:ascii="Times New Roman" w:eastAsia="Times New Roman" w:hAnsi="Times New Roman" w:cs="Times New Roman"/>
              </w:rPr>
              <w:t>+</w:t>
            </w:r>
            <w:r w:rsidR="00C1119F" w:rsidRPr="009C3AC7">
              <w:rPr>
                <w:rFonts w:ascii="Times New Roman" w:eastAsia="Times New Roman" w:hAnsi="Times New Roman" w:cs="Times New Roman"/>
              </w:rPr>
              <w:t>176,40</w:t>
            </w:r>
            <w:r w:rsidR="00990A52" w:rsidRPr="009C3AC7">
              <w:rPr>
                <w:rFonts w:ascii="Times New Roman" w:eastAsia="Times New Roman" w:hAnsi="Times New Roman" w:cs="Times New Roman"/>
              </w:rPr>
              <w:t xml:space="preserve"> </w:t>
            </w:r>
            <w:r w:rsidR="00F96F7B" w:rsidRPr="009C3AC7">
              <w:rPr>
                <w:rFonts w:ascii="Times New Roman" w:eastAsia="Times New Roman" w:hAnsi="Times New Roman" w:cs="Times New Roman"/>
              </w:rPr>
              <w:t>%</w:t>
            </w:r>
          </w:p>
        </w:tc>
      </w:tr>
      <w:tr w:rsidR="00F96F7B" w:rsidRPr="009C3AC7" w14:paraId="2B5170BB" w14:textId="77777777" w:rsidTr="0064474E">
        <w:tc>
          <w:tcPr>
            <w:tcW w:w="2405" w:type="dxa"/>
          </w:tcPr>
          <w:p w14:paraId="5193660F" w14:textId="27583B65" w:rsidR="00F96F7B" w:rsidRPr="009C3AC7" w:rsidRDefault="00990A52" w:rsidP="00F96F7B">
            <w:pPr>
              <w:jc w:val="center"/>
              <w:rPr>
                <w:rFonts w:ascii="Times New Roman" w:eastAsia="Times New Roman" w:hAnsi="Times New Roman" w:cs="Times New Roman"/>
              </w:rPr>
            </w:pPr>
            <w:r w:rsidRPr="009C3AC7">
              <w:rPr>
                <w:rFonts w:ascii="Times New Roman" w:eastAsia="Times New Roman" w:hAnsi="Times New Roman" w:cs="Times New Roman"/>
              </w:rPr>
              <w:t>P</w:t>
            </w:r>
            <w:r w:rsidR="00F96F7B" w:rsidRPr="009C3AC7">
              <w:rPr>
                <w:rFonts w:ascii="Times New Roman" w:eastAsia="Times New Roman" w:hAnsi="Times New Roman" w:cs="Times New Roman"/>
              </w:rPr>
              <w:t>ajamos iš valstybės biudžeto</w:t>
            </w:r>
          </w:p>
        </w:tc>
        <w:tc>
          <w:tcPr>
            <w:tcW w:w="1484" w:type="dxa"/>
          </w:tcPr>
          <w:p w14:paraId="1EBF1BD4" w14:textId="41E0CEA1" w:rsidR="00F96F7B" w:rsidRPr="009C3AC7" w:rsidRDefault="00145CC8" w:rsidP="00F96F7B">
            <w:pPr>
              <w:jc w:val="center"/>
              <w:rPr>
                <w:rFonts w:ascii="Times New Roman" w:eastAsia="Times New Roman" w:hAnsi="Times New Roman" w:cs="Times New Roman"/>
              </w:rPr>
            </w:pPr>
            <w:r w:rsidRPr="009C3AC7">
              <w:rPr>
                <w:rFonts w:ascii="Times New Roman" w:eastAsia="Times New Roman" w:hAnsi="Times New Roman" w:cs="Times New Roman"/>
              </w:rPr>
              <w:t>42 823,05</w:t>
            </w:r>
          </w:p>
        </w:tc>
        <w:tc>
          <w:tcPr>
            <w:tcW w:w="1958" w:type="dxa"/>
          </w:tcPr>
          <w:p w14:paraId="249B4758" w14:textId="7C360F44" w:rsidR="00F96F7B" w:rsidRPr="009C3AC7" w:rsidRDefault="00990A52" w:rsidP="00F96F7B">
            <w:pPr>
              <w:jc w:val="center"/>
              <w:rPr>
                <w:rFonts w:ascii="Times New Roman" w:eastAsia="Times New Roman" w:hAnsi="Times New Roman" w:cs="Times New Roman"/>
              </w:rPr>
            </w:pPr>
            <w:r w:rsidRPr="009C3AC7">
              <w:rPr>
                <w:rFonts w:ascii="Times New Roman" w:eastAsia="Times New Roman" w:hAnsi="Times New Roman" w:cs="Times New Roman"/>
              </w:rPr>
              <w:t>166 963,10</w:t>
            </w:r>
          </w:p>
        </w:tc>
        <w:tc>
          <w:tcPr>
            <w:tcW w:w="2025" w:type="dxa"/>
          </w:tcPr>
          <w:p w14:paraId="740CBEB3" w14:textId="4E298589" w:rsidR="00F96F7B" w:rsidRPr="009C3AC7" w:rsidRDefault="00344719" w:rsidP="00B628E3">
            <w:pPr>
              <w:jc w:val="center"/>
              <w:rPr>
                <w:rFonts w:ascii="Times New Roman" w:eastAsia="Times New Roman" w:hAnsi="Times New Roman" w:cs="Times New Roman"/>
              </w:rPr>
            </w:pPr>
            <w:r w:rsidRPr="009C3AC7">
              <w:rPr>
                <w:rFonts w:ascii="Times New Roman" w:eastAsia="Times New Roman" w:hAnsi="Times New Roman" w:cs="Times New Roman"/>
              </w:rPr>
              <w:t>+</w:t>
            </w:r>
            <w:r w:rsidR="00990A52" w:rsidRPr="009C3AC7">
              <w:rPr>
                <w:rFonts w:ascii="Times New Roman" w:eastAsia="Times New Roman" w:hAnsi="Times New Roman" w:cs="Times New Roman"/>
              </w:rPr>
              <w:t>124 140,05</w:t>
            </w:r>
          </w:p>
        </w:tc>
        <w:tc>
          <w:tcPr>
            <w:tcW w:w="2046" w:type="dxa"/>
            <w:tcBorders>
              <w:bottom w:val="single" w:sz="4" w:space="0" w:color="auto"/>
            </w:tcBorders>
          </w:tcPr>
          <w:p w14:paraId="27FCE106" w14:textId="4C48E714" w:rsidR="00F96F7B" w:rsidRPr="009C3AC7" w:rsidRDefault="001E5E71" w:rsidP="00F96F7B">
            <w:pPr>
              <w:jc w:val="center"/>
              <w:rPr>
                <w:rFonts w:ascii="Times New Roman" w:eastAsia="Times New Roman" w:hAnsi="Times New Roman" w:cs="Times New Roman"/>
              </w:rPr>
            </w:pPr>
            <w:r w:rsidRPr="009C3AC7">
              <w:rPr>
                <w:rFonts w:ascii="Times New Roman" w:eastAsia="Times New Roman" w:hAnsi="Times New Roman" w:cs="Times New Roman"/>
              </w:rPr>
              <w:t>+2</w:t>
            </w:r>
            <w:r w:rsidR="00990A52" w:rsidRPr="009C3AC7">
              <w:rPr>
                <w:rFonts w:ascii="Times New Roman" w:eastAsia="Times New Roman" w:hAnsi="Times New Roman" w:cs="Times New Roman"/>
              </w:rPr>
              <w:t xml:space="preserve">89,89 </w:t>
            </w:r>
            <w:r w:rsidR="00F96F7B" w:rsidRPr="009C3AC7">
              <w:rPr>
                <w:rFonts w:ascii="Times New Roman" w:eastAsia="Times New Roman" w:hAnsi="Times New Roman" w:cs="Times New Roman"/>
              </w:rPr>
              <w:t>%</w:t>
            </w:r>
          </w:p>
        </w:tc>
      </w:tr>
      <w:tr w:rsidR="00B628E3" w:rsidRPr="009C3AC7" w14:paraId="6DBEA191" w14:textId="77777777" w:rsidTr="0064474E">
        <w:tc>
          <w:tcPr>
            <w:tcW w:w="2405" w:type="dxa"/>
          </w:tcPr>
          <w:p w14:paraId="7F537DBE" w14:textId="49521B12" w:rsidR="00B628E3" w:rsidRPr="009C3AC7" w:rsidRDefault="00E754DA" w:rsidP="00F96F7B">
            <w:pPr>
              <w:jc w:val="center"/>
              <w:rPr>
                <w:rFonts w:ascii="Times New Roman" w:hAnsi="Times New Roman" w:cs="Times New Roman"/>
              </w:rPr>
            </w:pPr>
            <w:r w:rsidRPr="009C3AC7">
              <w:rPr>
                <w:rFonts w:ascii="Times New Roman" w:hAnsi="Times New Roman" w:cs="Times New Roman"/>
              </w:rPr>
              <w:t>P</w:t>
            </w:r>
            <w:r w:rsidR="00B628E3" w:rsidRPr="009C3AC7">
              <w:rPr>
                <w:rFonts w:ascii="Times New Roman" w:hAnsi="Times New Roman" w:cs="Times New Roman"/>
              </w:rPr>
              <w:t>ajamos iš ES</w:t>
            </w:r>
            <w:r w:rsidR="00990A52" w:rsidRPr="009C3AC7">
              <w:rPr>
                <w:rFonts w:ascii="Times New Roman" w:hAnsi="Times New Roman" w:cs="Times New Roman"/>
              </w:rPr>
              <w:t xml:space="preserve">, </w:t>
            </w:r>
            <w:r w:rsidR="0064474E" w:rsidRPr="009C3AC7">
              <w:rPr>
                <w:rFonts w:ascii="Times New Roman" w:hAnsi="Times New Roman" w:cs="Times New Roman"/>
              </w:rPr>
              <w:t>tarptautinių organizacijų</w:t>
            </w:r>
            <w:r w:rsidR="00B628E3" w:rsidRPr="009C3AC7">
              <w:rPr>
                <w:rFonts w:ascii="Times New Roman" w:hAnsi="Times New Roman" w:cs="Times New Roman"/>
              </w:rPr>
              <w:t xml:space="preserve"> struktūrinių fondų</w:t>
            </w:r>
          </w:p>
        </w:tc>
        <w:tc>
          <w:tcPr>
            <w:tcW w:w="1484" w:type="dxa"/>
          </w:tcPr>
          <w:p w14:paraId="410BF0E9" w14:textId="250EF159" w:rsidR="00B628E3" w:rsidRPr="009C3AC7" w:rsidRDefault="00145CC8" w:rsidP="00F96F7B">
            <w:pPr>
              <w:jc w:val="center"/>
              <w:rPr>
                <w:rFonts w:ascii="Times New Roman" w:hAnsi="Times New Roman" w:cs="Times New Roman"/>
              </w:rPr>
            </w:pPr>
            <w:r w:rsidRPr="009C3AC7">
              <w:rPr>
                <w:rFonts w:ascii="Times New Roman" w:hAnsi="Times New Roman" w:cs="Times New Roman"/>
              </w:rPr>
              <w:t>0</w:t>
            </w:r>
          </w:p>
        </w:tc>
        <w:tc>
          <w:tcPr>
            <w:tcW w:w="1958" w:type="dxa"/>
          </w:tcPr>
          <w:p w14:paraId="02260379" w14:textId="0218D4DC" w:rsidR="00B628E3" w:rsidRPr="009C3AC7" w:rsidRDefault="00990A52" w:rsidP="001D3F73">
            <w:pPr>
              <w:jc w:val="center"/>
              <w:rPr>
                <w:rFonts w:ascii="Times New Roman" w:hAnsi="Times New Roman" w:cs="Times New Roman"/>
              </w:rPr>
            </w:pPr>
            <w:r w:rsidRPr="009C3AC7">
              <w:rPr>
                <w:rFonts w:ascii="Times New Roman" w:hAnsi="Times New Roman" w:cs="Times New Roman"/>
              </w:rPr>
              <w:t>5051,85</w:t>
            </w:r>
          </w:p>
        </w:tc>
        <w:tc>
          <w:tcPr>
            <w:tcW w:w="2025" w:type="dxa"/>
          </w:tcPr>
          <w:p w14:paraId="075FF0DB" w14:textId="492A42F9" w:rsidR="00B628E3" w:rsidRPr="009C3AC7" w:rsidRDefault="00990A52" w:rsidP="00F96F7B">
            <w:pPr>
              <w:jc w:val="center"/>
              <w:rPr>
                <w:rFonts w:ascii="Times New Roman" w:hAnsi="Times New Roman" w:cs="Times New Roman"/>
              </w:rPr>
            </w:pPr>
            <w:r w:rsidRPr="009C3AC7">
              <w:rPr>
                <w:rFonts w:ascii="Times New Roman" w:hAnsi="Times New Roman" w:cs="Times New Roman"/>
              </w:rPr>
              <w:t>+5</w:t>
            </w:r>
            <w:r w:rsidR="00234DE6" w:rsidRPr="009C3AC7">
              <w:rPr>
                <w:rFonts w:ascii="Times New Roman" w:hAnsi="Times New Roman" w:cs="Times New Roman"/>
              </w:rPr>
              <w:t xml:space="preserve"> </w:t>
            </w:r>
            <w:r w:rsidRPr="009C3AC7">
              <w:rPr>
                <w:rFonts w:ascii="Times New Roman" w:hAnsi="Times New Roman" w:cs="Times New Roman"/>
              </w:rPr>
              <w:t>051,85</w:t>
            </w:r>
          </w:p>
        </w:tc>
        <w:tc>
          <w:tcPr>
            <w:tcW w:w="2046" w:type="dxa"/>
            <w:tcBorders>
              <w:bottom w:val="single" w:sz="4" w:space="0" w:color="auto"/>
            </w:tcBorders>
          </w:tcPr>
          <w:p w14:paraId="06A7C85F" w14:textId="048F6F78" w:rsidR="00B628E3" w:rsidRPr="009C3AC7" w:rsidRDefault="00990A52" w:rsidP="00F96F7B">
            <w:pPr>
              <w:jc w:val="center"/>
              <w:rPr>
                <w:rFonts w:ascii="Times New Roman" w:hAnsi="Times New Roman" w:cs="Times New Roman"/>
              </w:rPr>
            </w:pPr>
            <w:r w:rsidRPr="009C3AC7">
              <w:rPr>
                <w:rFonts w:ascii="Times New Roman" w:hAnsi="Times New Roman" w:cs="Times New Roman"/>
              </w:rPr>
              <w:t>+</w:t>
            </w:r>
            <w:r w:rsidR="00B628E3" w:rsidRPr="009C3AC7">
              <w:rPr>
                <w:rFonts w:ascii="Times New Roman" w:hAnsi="Times New Roman" w:cs="Times New Roman"/>
              </w:rPr>
              <w:t>100</w:t>
            </w:r>
            <w:r w:rsidR="00B628E3" w:rsidRPr="009C3AC7">
              <w:rPr>
                <w:rFonts w:ascii="Times New Roman" w:eastAsia="Times New Roman" w:hAnsi="Times New Roman" w:cs="Times New Roman"/>
              </w:rPr>
              <w:t>%</w:t>
            </w:r>
          </w:p>
        </w:tc>
      </w:tr>
      <w:tr w:rsidR="00F96F7B" w:rsidRPr="009C3AC7" w14:paraId="35F69B9C" w14:textId="77777777" w:rsidTr="0064474E">
        <w:tc>
          <w:tcPr>
            <w:tcW w:w="2405" w:type="dxa"/>
          </w:tcPr>
          <w:p w14:paraId="6E5E8FB2" w14:textId="31421747" w:rsidR="00F96F7B" w:rsidRPr="009C3AC7" w:rsidRDefault="008C4CC5" w:rsidP="0064474E">
            <w:pPr>
              <w:jc w:val="center"/>
              <w:rPr>
                <w:rFonts w:ascii="Times New Roman" w:eastAsia="Times New Roman" w:hAnsi="Times New Roman" w:cs="Times New Roman"/>
              </w:rPr>
            </w:pPr>
            <w:r w:rsidRPr="009C3AC7">
              <w:rPr>
                <w:rFonts w:ascii="Times New Roman" w:eastAsia="Times New Roman" w:hAnsi="Times New Roman" w:cs="Times New Roman"/>
              </w:rPr>
              <w:t xml:space="preserve">IŠ </w:t>
            </w:r>
            <w:r w:rsidR="00F96F7B" w:rsidRPr="009C3AC7">
              <w:rPr>
                <w:rFonts w:ascii="Times New Roman" w:eastAsia="Times New Roman" w:hAnsi="Times New Roman" w:cs="Times New Roman"/>
              </w:rPr>
              <w:t>VISO:</w:t>
            </w:r>
          </w:p>
        </w:tc>
        <w:tc>
          <w:tcPr>
            <w:tcW w:w="1484" w:type="dxa"/>
          </w:tcPr>
          <w:p w14:paraId="3CBB90BB" w14:textId="2B762540" w:rsidR="00F96F7B" w:rsidRPr="009C3AC7" w:rsidRDefault="00CB37DF" w:rsidP="00F96F7B">
            <w:pPr>
              <w:jc w:val="center"/>
              <w:rPr>
                <w:rFonts w:ascii="Times New Roman" w:eastAsia="Times New Roman" w:hAnsi="Times New Roman" w:cs="Times New Roman"/>
              </w:rPr>
            </w:pPr>
            <w:r w:rsidRPr="009C3AC7">
              <w:rPr>
                <w:rFonts w:ascii="Times New Roman" w:eastAsia="Times New Roman" w:hAnsi="Times New Roman" w:cs="Times New Roman"/>
              </w:rPr>
              <w:t xml:space="preserve">1 </w:t>
            </w:r>
            <w:r w:rsidR="00145CC8" w:rsidRPr="009C3AC7">
              <w:rPr>
                <w:rFonts w:ascii="Times New Roman" w:eastAsia="Times New Roman" w:hAnsi="Times New Roman" w:cs="Times New Roman"/>
              </w:rPr>
              <w:t>098 982,20</w:t>
            </w:r>
          </w:p>
        </w:tc>
        <w:tc>
          <w:tcPr>
            <w:tcW w:w="1958" w:type="dxa"/>
          </w:tcPr>
          <w:p w14:paraId="02AC3386" w14:textId="4EA228D1" w:rsidR="00F96F7B" w:rsidRPr="009C3AC7" w:rsidRDefault="00B628E3" w:rsidP="00F96F7B">
            <w:pPr>
              <w:jc w:val="center"/>
              <w:rPr>
                <w:rFonts w:ascii="Times New Roman" w:eastAsia="Times New Roman" w:hAnsi="Times New Roman" w:cs="Times New Roman"/>
              </w:rPr>
            </w:pPr>
            <w:r w:rsidRPr="009C3AC7">
              <w:rPr>
                <w:rFonts w:ascii="Times New Roman" w:eastAsia="Times New Roman" w:hAnsi="Times New Roman" w:cs="Times New Roman"/>
              </w:rPr>
              <w:t>1</w:t>
            </w:r>
            <w:r w:rsidR="008524EF" w:rsidRPr="009C3AC7">
              <w:rPr>
                <w:rFonts w:ascii="Times New Roman" w:eastAsia="Times New Roman" w:hAnsi="Times New Roman" w:cs="Times New Roman"/>
              </w:rPr>
              <w:t xml:space="preserve"> </w:t>
            </w:r>
            <w:r w:rsidR="00990A52" w:rsidRPr="009C3AC7">
              <w:rPr>
                <w:rFonts w:ascii="Times New Roman" w:eastAsia="Times New Roman" w:hAnsi="Times New Roman" w:cs="Times New Roman"/>
              </w:rPr>
              <w:t>507 941,14</w:t>
            </w:r>
          </w:p>
        </w:tc>
        <w:tc>
          <w:tcPr>
            <w:tcW w:w="2025" w:type="dxa"/>
          </w:tcPr>
          <w:p w14:paraId="23414A23" w14:textId="7841E0DF" w:rsidR="00F96F7B" w:rsidRPr="009C3AC7" w:rsidRDefault="005D4060" w:rsidP="00F96F7B">
            <w:pPr>
              <w:jc w:val="center"/>
              <w:rPr>
                <w:rFonts w:ascii="Times New Roman" w:eastAsia="Times New Roman" w:hAnsi="Times New Roman" w:cs="Times New Roman"/>
              </w:rPr>
            </w:pPr>
            <w:r w:rsidRPr="009C3AC7">
              <w:rPr>
                <w:rFonts w:ascii="Times New Roman" w:eastAsia="Times New Roman" w:hAnsi="Times New Roman" w:cs="Times New Roman"/>
              </w:rPr>
              <w:t>+</w:t>
            </w:r>
            <w:r w:rsidR="00990A52" w:rsidRPr="009C3AC7">
              <w:rPr>
                <w:rFonts w:ascii="Times New Roman" w:eastAsia="Times New Roman" w:hAnsi="Times New Roman" w:cs="Times New Roman"/>
              </w:rPr>
              <w:t>408 958,94</w:t>
            </w:r>
          </w:p>
        </w:tc>
        <w:tc>
          <w:tcPr>
            <w:tcW w:w="2046" w:type="dxa"/>
            <w:tcBorders>
              <w:tr2bl w:val="single" w:sz="4" w:space="0" w:color="auto"/>
            </w:tcBorders>
          </w:tcPr>
          <w:p w14:paraId="1AC5EBDF" w14:textId="77777777" w:rsidR="00F96F7B" w:rsidRPr="009C3AC7" w:rsidRDefault="00F96F7B" w:rsidP="00F96F7B">
            <w:pPr>
              <w:jc w:val="center"/>
              <w:rPr>
                <w:rFonts w:ascii="Times New Roman" w:eastAsia="Times New Roman" w:hAnsi="Times New Roman" w:cs="Times New Roman"/>
              </w:rPr>
            </w:pPr>
          </w:p>
        </w:tc>
      </w:tr>
    </w:tbl>
    <w:p w14:paraId="00B91794" w14:textId="77777777" w:rsidR="00B9789B" w:rsidRDefault="00B9789B" w:rsidP="00547C93">
      <w:pPr>
        <w:jc w:val="center"/>
        <w:rPr>
          <w:b/>
        </w:rPr>
      </w:pPr>
    </w:p>
    <w:p w14:paraId="0A774C5E" w14:textId="6941146A" w:rsidR="00547C93" w:rsidRPr="009C3AC7" w:rsidRDefault="00547C93" w:rsidP="00547C93">
      <w:pPr>
        <w:jc w:val="center"/>
        <w:rPr>
          <w:b/>
        </w:rPr>
      </w:pPr>
      <w:r w:rsidRPr="009C3AC7">
        <w:rPr>
          <w:b/>
        </w:rPr>
        <w:t>Informacija apie fizinių</w:t>
      </w:r>
      <w:r w:rsidR="005C03F1" w:rsidRPr="009C3AC7">
        <w:rPr>
          <w:b/>
        </w:rPr>
        <w:t xml:space="preserve"> juridinių asmenų paramos lėšas</w:t>
      </w:r>
      <w:r w:rsidRPr="009C3AC7">
        <w:rPr>
          <w:b/>
        </w:rPr>
        <w:t xml:space="preserve"> ir jų panaudojimą</w:t>
      </w:r>
    </w:p>
    <w:p w14:paraId="1DB979A2" w14:textId="77777777" w:rsidR="00547C93" w:rsidRPr="009C3AC7" w:rsidRDefault="00547C93" w:rsidP="00547C93">
      <w:pPr>
        <w:jc w:val="center"/>
        <w:rPr>
          <w:b/>
        </w:rPr>
      </w:pPr>
    </w:p>
    <w:p w14:paraId="6F7BFA44" w14:textId="0502C1DD" w:rsidR="00547C93" w:rsidRPr="009C3AC7" w:rsidRDefault="00547C93" w:rsidP="002161B5">
      <w:pPr>
        <w:ind w:firstLine="567"/>
        <w:jc w:val="both"/>
      </w:pPr>
      <w:r w:rsidRPr="009C3AC7">
        <w:t xml:space="preserve">Likutis ataskaitinio laikotarpio pradžioje sudarė </w:t>
      </w:r>
      <w:r w:rsidR="00234DE6" w:rsidRPr="009C3AC7">
        <w:t>439,58</w:t>
      </w:r>
      <w:r w:rsidRPr="009C3AC7">
        <w:t xml:space="preserve"> Eur. Per ataskaitinį laikotarpį gauta</w:t>
      </w:r>
      <w:r w:rsidR="002F19E7" w:rsidRPr="009C3AC7">
        <w:t xml:space="preserve"> 1,2</w:t>
      </w:r>
      <w:r w:rsidR="00B9789B">
        <w:t> </w:t>
      </w:r>
      <w:r w:rsidRPr="009C3AC7">
        <w:t xml:space="preserve">procentų parama iš VMI Klaipėdos skyriaus </w:t>
      </w:r>
      <w:r w:rsidR="00234DE6" w:rsidRPr="009C3AC7">
        <w:t>240,39</w:t>
      </w:r>
      <w:r w:rsidRPr="009C3AC7">
        <w:t xml:space="preserve"> Eur, panaudota </w:t>
      </w:r>
      <w:r w:rsidR="002562E8" w:rsidRPr="009C3AC7">
        <w:t>46,69</w:t>
      </w:r>
      <w:r w:rsidRPr="009C3AC7">
        <w:t xml:space="preserve"> Eur (banko</w:t>
      </w:r>
      <w:r w:rsidR="002562E8" w:rsidRPr="009C3AC7">
        <w:t xml:space="preserve"> ir kt.</w:t>
      </w:r>
      <w:r w:rsidRPr="009C3AC7">
        <w:t xml:space="preserve"> </w:t>
      </w:r>
      <w:r w:rsidRPr="009C3AC7">
        <w:lastRenderedPageBreak/>
        <w:t>mokesčiai), pirkt</w:t>
      </w:r>
      <w:r w:rsidR="0029016A" w:rsidRPr="009C3AC7">
        <w:t>as</w:t>
      </w:r>
      <w:r w:rsidR="00AB017E" w:rsidRPr="009C3AC7">
        <w:t xml:space="preserve"> </w:t>
      </w:r>
      <w:r w:rsidR="0029016A" w:rsidRPr="009C3AC7">
        <w:t>inventorius kineziterapijai</w:t>
      </w:r>
      <w:r w:rsidRPr="009C3AC7">
        <w:t xml:space="preserve"> </w:t>
      </w:r>
      <w:r w:rsidR="00AB017E" w:rsidRPr="009C3AC7">
        <w:t xml:space="preserve">ir masažo paslaugoms teikti </w:t>
      </w:r>
      <w:r w:rsidRPr="009C3AC7">
        <w:t xml:space="preserve">už </w:t>
      </w:r>
      <w:r w:rsidR="00234DE6" w:rsidRPr="009C3AC7">
        <w:t>633,28</w:t>
      </w:r>
      <w:r w:rsidRPr="009C3AC7">
        <w:t xml:space="preserve"> Eur. Likutis ataskaitinio laikotarpio pabaigoje </w:t>
      </w:r>
      <w:r w:rsidR="00234DE6" w:rsidRPr="009C3AC7">
        <w:t>0</w:t>
      </w:r>
      <w:r w:rsidRPr="009C3AC7">
        <w:t xml:space="preserve"> Eur.</w:t>
      </w:r>
    </w:p>
    <w:p w14:paraId="27F14B33" w14:textId="451D273E" w:rsidR="00F86892" w:rsidRPr="009C3AC7" w:rsidRDefault="00F86892" w:rsidP="00547C93">
      <w:pPr>
        <w:rPr>
          <w:b/>
          <w:i/>
          <w:iCs/>
        </w:rPr>
      </w:pPr>
    </w:p>
    <w:p w14:paraId="6EDEA10A" w14:textId="1CD0D13C" w:rsidR="00F96F7B" w:rsidRPr="009C3AC7" w:rsidRDefault="00F96F7B" w:rsidP="00B9789B">
      <w:pPr>
        <w:jc w:val="center"/>
        <w:rPr>
          <w:b/>
        </w:rPr>
      </w:pPr>
      <w:r w:rsidRPr="009C3AC7">
        <w:rPr>
          <w:b/>
        </w:rPr>
        <w:t>Informacija apie Neringos PSPC įsigytą ir perleistą ilgalaikį turtą per finansinius metus</w:t>
      </w:r>
    </w:p>
    <w:p w14:paraId="6DD501B4" w14:textId="77777777" w:rsidR="00F96F7B" w:rsidRPr="009C3AC7" w:rsidRDefault="00F96F7B" w:rsidP="00F96F7B">
      <w:pPr>
        <w:ind w:firstLine="567"/>
        <w:jc w:val="both"/>
        <w:rPr>
          <w:b/>
        </w:rPr>
      </w:pPr>
    </w:p>
    <w:p w14:paraId="1FAF4703" w14:textId="082EF0DB" w:rsidR="00F96F7B" w:rsidRPr="009C3AC7" w:rsidRDefault="00361758" w:rsidP="00F96F7B">
      <w:pPr>
        <w:ind w:firstLine="567"/>
        <w:jc w:val="both"/>
      </w:pPr>
      <w:r w:rsidRPr="009C3AC7">
        <w:t>Per ataskaitinius 20</w:t>
      </w:r>
      <w:r w:rsidR="003547FA" w:rsidRPr="009C3AC7">
        <w:t>2</w:t>
      </w:r>
      <w:r w:rsidR="00AB017E" w:rsidRPr="009C3AC7">
        <w:t>1</w:t>
      </w:r>
      <w:r w:rsidR="00F96F7B" w:rsidRPr="009C3AC7">
        <w:t xml:space="preserve"> metus įstaiga įsigijo ilgalaikio turto už </w:t>
      </w:r>
      <w:r w:rsidR="003547FA" w:rsidRPr="009C3AC7">
        <w:t>1</w:t>
      </w:r>
      <w:r w:rsidR="00B525D6" w:rsidRPr="009C3AC7">
        <w:t>4 666,41</w:t>
      </w:r>
      <w:r w:rsidR="00F96F7B" w:rsidRPr="009C3AC7">
        <w:t xml:space="preserve"> Eur, iš jų:</w:t>
      </w:r>
    </w:p>
    <w:p w14:paraId="76C72558" w14:textId="4C651F7F" w:rsidR="00A60E37" w:rsidRPr="009C3AC7" w:rsidRDefault="002D18E0" w:rsidP="00A60E37">
      <w:pPr>
        <w:pStyle w:val="Sraopastraipa"/>
        <w:numPr>
          <w:ilvl w:val="0"/>
          <w:numId w:val="15"/>
        </w:numPr>
        <w:tabs>
          <w:tab w:val="left" w:pos="993"/>
        </w:tabs>
        <w:ind w:left="0" w:firstLine="567"/>
        <w:jc w:val="both"/>
      </w:pPr>
      <w:r w:rsidRPr="009C3AC7">
        <w:t>Programinė įranga Microsoft Office Home and Business 2019 Full</w:t>
      </w:r>
      <w:r w:rsidR="009C3AC7" w:rsidRPr="009C3AC7">
        <w:t>,</w:t>
      </w:r>
      <w:r w:rsidR="00230638" w:rsidRPr="009C3AC7">
        <w:t>,</w:t>
      </w:r>
      <w:r w:rsidRPr="009C3AC7">
        <w:t xml:space="preserve"> 5 vnt. už 1 </w:t>
      </w:r>
      <w:r w:rsidR="00B525D6" w:rsidRPr="009C3AC7">
        <w:t>361,25</w:t>
      </w:r>
      <w:r w:rsidRPr="009C3AC7">
        <w:t xml:space="preserve"> Eur</w:t>
      </w:r>
      <w:r w:rsidR="00230638" w:rsidRPr="009C3AC7">
        <w:t>;</w:t>
      </w:r>
    </w:p>
    <w:p w14:paraId="5215D1BB" w14:textId="5E761F94" w:rsidR="002D18E0" w:rsidRPr="009C3AC7" w:rsidRDefault="00A60E37" w:rsidP="003547FA">
      <w:pPr>
        <w:pStyle w:val="Sraopastraipa"/>
        <w:numPr>
          <w:ilvl w:val="0"/>
          <w:numId w:val="15"/>
        </w:numPr>
        <w:tabs>
          <w:tab w:val="left" w:pos="993"/>
        </w:tabs>
        <w:ind w:left="0" w:firstLine="567"/>
        <w:jc w:val="both"/>
      </w:pPr>
      <w:r w:rsidRPr="009C3AC7">
        <w:t>Odontologinės kėdės</w:t>
      </w:r>
      <w:r w:rsidR="009C3AC7" w:rsidRPr="009C3AC7">
        <w:t xml:space="preserve"> atnaujinimas,</w:t>
      </w:r>
      <w:r w:rsidRPr="009C3AC7">
        <w:t xml:space="preserve"> 1 196,69 Eur;</w:t>
      </w:r>
    </w:p>
    <w:p w14:paraId="11AA39BD" w14:textId="3FF6B5F6" w:rsidR="002D18E0" w:rsidRPr="009C3AC7" w:rsidRDefault="00A60E37" w:rsidP="003547FA">
      <w:pPr>
        <w:pStyle w:val="Sraopastraipa"/>
        <w:numPr>
          <w:ilvl w:val="0"/>
          <w:numId w:val="15"/>
        </w:numPr>
        <w:tabs>
          <w:tab w:val="left" w:pos="993"/>
        </w:tabs>
        <w:ind w:left="0" w:firstLine="567"/>
        <w:jc w:val="both"/>
      </w:pPr>
      <w:r w:rsidRPr="009C3AC7">
        <w:t>Odontologinis šviestuvas</w:t>
      </w:r>
      <w:r w:rsidR="009C3AC7" w:rsidRPr="009C3AC7">
        <w:t>,</w:t>
      </w:r>
      <w:r w:rsidRPr="009C3AC7">
        <w:t xml:space="preserve"> 1 364,88</w:t>
      </w:r>
      <w:r w:rsidR="002D18E0" w:rsidRPr="009C3AC7">
        <w:t xml:space="preserve"> Eur</w:t>
      </w:r>
      <w:r w:rsidR="00230638" w:rsidRPr="009C3AC7">
        <w:t>;</w:t>
      </w:r>
    </w:p>
    <w:p w14:paraId="0A365775" w14:textId="6465BE77" w:rsidR="002D18E0" w:rsidRPr="009C3AC7" w:rsidRDefault="00A60E37" w:rsidP="003547FA">
      <w:pPr>
        <w:pStyle w:val="Sraopastraipa"/>
        <w:numPr>
          <w:ilvl w:val="0"/>
          <w:numId w:val="15"/>
        </w:numPr>
        <w:tabs>
          <w:tab w:val="left" w:pos="993"/>
        </w:tabs>
        <w:ind w:left="0" w:firstLine="567"/>
        <w:jc w:val="both"/>
      </w:pPr>
      <w:r w:rsidRPr="009C3AC7">
        <w:t>Multifunkcinis vežimėlis su 4 stalčiais</w:t>
      </w:r>
      <w:r w:rsidR="009C3AC7" w:rsidRPr="009C3AC7">
        <w:t>,</w:t>
      </w:r>
      <w:r w:rsidRPr="009C3AC7">
        <w:t xml:space="preserve"> 2 vnt. už </w:t>
      </w:r>
      <w:r w:rsidR="00134185" w:rsidRPr="009C3AC7">
        <w:t>3 320,24</w:t>
      </w:r>
      <w:r w:rsidR="002D18E0" w:rsidRPr="009C3AC7">
        <w:t xml:space="preserve"> Eur</w:t>
      </w:r>
      <w:r w:rsidR="00EA4E99" w:rsidRPr="009C3AC7">
        <w:t>;</w:t>
      </w:r>
    </w:p>
    <w:p w14:paraId="2EA8EAA3" w14:textId="33548452" w:rsidR="002D18E0" w:rsidRPr="009C3AC7" w:rsidRDefault="00134185" w:rsidP="003547FA">
      <w:pPr>
        <w:pStyle w:val="Sraopastraipa"/>
        <w:numPr>
          <w:ilvl w:val="0"/>
          <w:numId w:val="15"/>
        </w:numPr>
        <w:tabs>
          <w:tab w:val="left" w:pos="993"/>
        </w:tabs>
        <w:ind w:left="0" w:firstLine="567"/>
        <w:jc w:val="both"/>
      </w:pPr>
      <w:r w:rsidRPr="009C3AC7">
        <w:t>Multifunkcinis vežimėlis Presto 400</w:t>
      </w:r>
      <w:r w:rsidR="009C3AC7" w:rsidRPr="009C3AC7">
        <w:t>,</w:t>
      </w:r>
      <w:r w:rsidRPr="009C3AC7">
        <w:t xml:space="preserve"> 1 819,84</w:t>
      </w:r>
      <w:r w:rsidR="002D18E0" w:rsidRPr="009C3AC7">
        <w:t xml:space="preserve"> Eur</w:t>
      </w:r>
      <w:r w:rsidR="00EA4E99" w:rsidRPr="009C3AC7">
        <w:t>;</w:t>
      </w:r>
    </w:p>
    <w:p w14:paraId="0B1EF6AD" w14:textId="76AF6219" w:rsidR="00EA4E99" w:rsidRPr="009C3AC7" w:rsidRDefault="00EA4E99" w:rsidP="003547FA">
      <w:pPr>
        <w:pStyle w:val="Sraopastraipa"/>
        <w:numPr>
          <w:ilvl w:val="0"/>
          <w:numId w:val="15"/>
        </w:numPr>
        <w:tabs>
          <w:tab w:val="left" w:pos="993"/>
        </w:tabs>
        <w:ind w:left="0" w:firstLine="567"/>
        <w:jc w:val="both"/>
      </w:pPr>
      <w:r w:rsidRPr="009C3AC7">
        <w:t>Multifunkcinis vežimėlis su 3 stalčiais</w:t>
      </w:r>
      <w:r w:rsidR="009C3AC7" w:rsidRPr="009C3AC7">
        <w:t>,</w:t>
      </w:r>
      <w:r w:rsidRPr="009C3AC7">
        <w:t xml:space="preserve"> 975,26 Eur;</w:t>
      </w:r>
    </w:p>
    <w:p w14:paraId="57D652FA" w14:textId="36ECBE7D" w:rsidR="00EA4E99" w:rsidRPr="009C3AC7" w:rsidRDefault="00EA4E99" w:rsidP="003547FA">
      <w:pPr>
        <w:pStyle w:val="Sraopastraipa"/>
        <w:numPr>
          <w:ilvl w:val="0"/>
          <w:numId w:val="15"/>
        </w:numPr>
        <w:tabs>
          <w:tab w:val="left" w:pos="993"/>
        </w:tabs>
        <w:ind w:left="0" w:firstLine="567"/>
        <w:jc w:val="both"/>
      </w:pPr>
      <w:r w:rsidRPr="009C3AC7">
        <w:t xml:space="preserve">Kompiuteris </w:t>
      </w:r>
      <w:r w:rsidR="00DF3574" w:rsidRPr="009C3AC7">
        <w:t>L</w:t>
      </w:r>
      <w:r w:rsidRPr="009C3AC7">
        <w:t>enovo Essential V35s Desktop</w:t>
      </w:r>
      <w:r w:rsidR="009C3AC7" w:rsidRPr="009C3AC7">
        <w:t>,</w:t>
      </w:r>
      <w:r w:rsidRPr="009C3AC7">
        <w:t xml:space="preserve"> 4 vnt. už 2 613,60 Eur;</w:t>
      </w:r>
    </w:p>
    <w:p w14:paraId="18B2155A" w14:textId="36C009D1" w:rsidR="00EA4E99" w:rsidRPr="009C3AC7" w:rsidRDefault="00EA4E99" w:rsidP="003547FA">
      <w:pPr>
        <w:pStyle w:val="Sraopastraipa"/>
        <w:numPr>
          <w:ilvl w:val="0"/>
          <w:numId w:val="15"/>
        </w:numPr>
        <w:tabs>
          <w:tab w:val="left" w:pos="993"/>
        </w:tabs>
        <w:ind w:left="0" w:firstLine="567"/>
        <w:jc w:val="both"/>
      </w:pPr>
      <w:r w:rsidRPr="009C3AC7">
        <w:t>Kompiuteris T</w:t>
      </w:r>
      <w:r w:rsidR="002F19E7" w:rsidRPr="009C3AC7">
        <w:t>h</w:t>
      </w:r>
      <w:r w:rsidRPr="009C3AC7">
        <w:t>ink Centre M720 Desktop už 925,65 Eur;</w:t>
      </w:r>
    </w:p>
    <w:p w14:paraId="3E9483DE" w14:textId="2E48B8F8" w:rsidR="00EA4E99" w:rsidRPr="009C3AC7" w:rsidRDefault="00713A95" w:rsidP="003547FA">
      <w:pPr>
        <w:pStyle w:val="Sraopastraipa"/>
        <w:numPr>
          <w:ilvl w:val="0"/>
          <w:numId w:val="15"/>
        </w:numPr>
        <w:tabs>
          <w:tab w:val="left" w:pos="993"/>
        </w:tabs>
        <w:ind w:left="0" w:firstLine="567"/>
        <w:jc w:val="both"/>
      </w:pPr>
      <w:r w:rsidRPr="009C3AC7">
        <w:t>Šlapimo</w:t>
      </w:r>
      <w:r w:rsidR="00EA4E99" w:rsidRPr="009C3AC7">
        <w:t xml:space="preserve"> analizatorius Acon Mission U120</w:t>
      </w:r>
      <w:r w:rsidR="009C3AC7" w:rsidRPr="009C3AC7">
        <w:t>,</w:t>
      </w:r>
      <w:r w:rsidR="00EA4E99" w:rsidRPr="009C3AC7">
        <w:t xml:space="preserve"> 2 vnt. už 1 089,00 Eur.</w:t>
      </w:r>
    </w:p>
    <w:p w14:paraId="187E77E4" w14:textId="7B85F04C" w:rsidR="002B17FE" w:rsidRPr="009C3AC7" w:rsidRDefault="00F96F7B" w:rsidP="002B17FE">
      <w:pPr>
        <w:ind w:firstLine="567"/>
        <w:jc w:val="both"/>
      </w:pPr>
      <w:r w:rsidRPr="009C3AC7">
        <w:t xml:space="preserve">Įstaiga per ataskaitinį laikotarpį </w:t>
      </w:r>
      <w:r w:rsidR="00A60E37" w:rsidRPr="009C3AC7">
        <w:t>ilgalaikio turto nenurašė.</w:t>
      </w:r>
    </w:p>
    <w:p w14:paraId="255B0B8B" w14:textId="395CA95D" w:rsidR="00F96F7B" w:rsidRPr="009C3AC7" w:rsidRDefault="00F96F7B" w:rsidP="00F96F7B">
      <w:pPr>
        <w:jc w:val="both"/>
        <w:rPr>
          <w:i/>
          <w:iCs/>
        </w:rPr>
      </w:pPr>
    </w:p>
    <w:p w14:paraId="30D69FED" w14:textId="30E6A146" w:rsidR="00F96F7B" w:rsidRPr="009C3AC7" w:rsidRDefault="00F96F7B" w:rsidP="00091D67">
      <w:pPr>
        <w:jc w:val="center"/>
        <w:rPr>
          <w:b/>
        </w:rPr>
      </w:pPr>
      <w:r w:rsidRPr="009C3AC7">
        <w:rPr>
          <w:b/>
        </w:rPr>
        <w:t>Pagrindinės veiklos sąnaudos</w:t>
      </w:r>
    </w:p>
    <w:p w14:paraId="34C20510" w14:textId="77777777" w:rsidR="00F96F7B" w:rsidRPr="009C3AC7" w:rsidRDefault="00F96F7B" w:rsidP="00F96F7B">
      <w:pPr>
        <w:ind w:firstLine="567"/>
        <w:jc w:val="center"/>
        <w:rPr>
          <w:b/>
        </w:rPr>
      </w:pPr>
    </w:p>
    <w:p w14:paraId="50C99AC9" w14:textId="7DFE835C" w:rsidR="009070F7" w:rsidRPr="009C3AC7" w:rsidRDefault="009070F7" w:rsidP="009070F7">
      <w:pPr>
        <w:ind w:firstLine="567"/>
        <w:jc w:val="both"/>
      </w:pPr>
      <w:r w:rsidRPr="009C3AC7">
        <w:t>Pagrindinės veiklos sąnaudos per 202</w:t>
      </w:r>
      <w:r w:rsidR="00AF2A45" w:rsidRPr="009C3AC7">
        <w:t>1</w:t>
      </w:r>
      <w:r w:rsidRPr="009C3AC7">
        <w:t xml:space="preserve"> metus įstaigoje sudarė 1 </w:t>
      </w:r>
      <w:r w:rsidR="00AF2A45" w:rsidRPr="009C3AC7">
        <w:t>498 033,86</w:t>
      </w:r>
      <w:r w:rsidRPr="009C3AC7">
        <w:t xml:space="preserve"> Eur, iš jų:</w:t>
      </w:r>
    </w:p>
    <w:p w14:paraId="6143F2F3" w14:textId="74944E72" w:rsidR="009070F7" w:rsidRPr="009C3AC7" w:rsidRDefault="009070F7" w:rsidP="009070F7">
      <w:pPr>
        <w:ind w:left="567"/>
        <w:jc w:val="both"/>
      </w:pPr>
      <w:r w:rsidRPr="009C3AC7">
        <w:t xml:space="preserve">1. Darbo užmokestis ir socialinis draudimas – </w:t>
      </w:r>
      <w:r w:rsidR="00AF2A45" w:rsidRPr="009C3AC7">
        <w:t>1 185 296,30</w:t>
      </w:r>
      <w:r w:rsidRPr="009C3AC7">
        <w:t xml:space="preserve"> Eur, iš jų:</w:t>
      </w:r>
    </w:p>
    <w:p w14:paraId="53C4EA2A" w14:textId="28C1C35C" w:rsidR="003C45DE" w:rsidRPr="009C3AC7" w:rsidRDefault="003C45DE" w:rsidP="003C45DE">
      <w:pPr>
        <w:ind w:firstLine="567"/>
        <w:jc w:val="both"/>
      </w:pPr>
      <w:r w:rsidRPr="009C3AC7">
        <w:t>1.</w:t>
      </w:r>
      <w:r w:rsidR="00E45525" w:rsidRPr="009C3AC7">
        <w:t>1</w:t>
      </w:r>
      <w:r w:rsidRPr="009C3AC7">
        <w:t xml:space="preserve">. Ligos pašalpos – </w:t>
      </w:r>
      <w:r w:rsidR="00650191" w:rsidRPr="009C3AC7">
        <w:t xml:space="preserve"> </w:t>
      </w:r>
      <w:r w:rsidR="00AF2A45" w:rsidRPr="009C3AC7">
        <w:t>1 875,24</w:t>
      </w:r>
      <w:r w:rsidRPr="009C3AC7">
        <w:t xml:space="preserve"> Eur</w:t>
      </w:r>
      <w:r w:rsidR="00DF3574" w:rsidRPr="009C3AC7">
        <w:t>;</w:t>
      </w:r>
    </w:p>
    <w:p w14:paraId="44582DB1" w14:textId="633207A4" w:rsidR="003C45DE" w:rsidRPr="009C3AC7" w:rsidRDefault="003C45DE" w:rsidP="003C45DE">
      <w:pPr>
        <w:ind w:firstLine="567"/>
        <w:jc w:val="both"/>
      </w:pPr>
      <w:r w:rsidRPr="009C3AC7">
        <w:t>2. Turto nusidėvėjimas ir amortizacija – 4</w:t>
      </w:r>
      <w:r w:rsidR="00AF2A45" w:rsidRPr="009C3AC7">
        <w:t xml:space="preserve">4 </w:t>
      </w:r>
      <w:r w:rsidR="00536DE2" w:rsidRPr="009C3AC7">
        <w:t>554,86</w:t>
      </w:r>
      <w:r w:rsidRPr="009C3AC7">
        <w:t xml:space="preserve"> Eur</w:t>
      </w:r>
      <w:r w:rsidR="00230638" w:rsidRPr="009C3AC7">
        <w:t>;</w:t>
      </w:r>
    </w:p>
    <w:p w14:paraId="05DDB061" w14:textId="16E62003" w:rsidR="003C45DE" w:rsidRPr="009C3AC7" w:rsidRDefault="003C45DE" w:rsidP="003C45DE">
      <w:pPr>
        <w:ind w:firstLine="567"/>
        <w:jc w:val="both"/>
      </w:pPr>
      <w:r w:rsidRPr="009C3AC7">
        <w:t xml:space="preserve">3. Komunalinės paslaugos ir ryšiai – </w:t>
      </w:r>
      <w:r w:rsidR="00AF2A45" w:rsidRPr="009C3AC7">
        <w:t>31 920,46</w:t>
      </w:r>
      <w:r w:rsidRPr="009C3AC7">
        <w:t xml:space="preserve"> Eur, iš jų:</w:t>
      </w:r>
    </w:p>
    <w:p w14:paraId="24C41AE2" w14:textId="2F950AED" w:rsidR="003C45DE" w:rsidRPr="009C3AC7" w:rsidRDefault="003C45DE" w:rsidP="003C45DE">
      <w:pPr>
        <w:ind w:firstLine="567"/>
        <w:jc w:val="both"/>
      </w:pPr>
      <w:r w:rsidRPr="009C3AC7">
        <w:t>3.1. Šildymas – 1</w:t>
      </w:r>
      <w:r w:rsidR="00AF2A45" w:rsidRPr="009C3AC7">
        <w:t xml:space="preserve">6 </w:t>
      </w:r>
      <w:r w:rsidR="007F5909" w:rsidRPr="009C3AC7">
        <w:t>794,08</w:t>
      </w:r>
      <w:r w:rsidRPr="009C3AC7">
        <w:t xml:space="preserve"> Eur;</w:t>
      </w:r>
    </w:p>
    <w:p w14:paraId="124818EF" w14:textId="451D5CEF" w:rsidR="003C45DE" w:rsidRPr="009C3AC7" w:rsidRDefault="003C45DE" w:rsidP="003C45DE">
      <w:pPr>
        <w:ind w:firstLine="567"/>
        <w:jc w:val="both"/>
      </w:pPr>
      <w:r w:rsidRPr="009C3AC7">
        <w:t xml:space="preserve">3.2. Elektros energija – </w:t>
      </w:r>
      <w:r w:rsidR="00A00468" w:rsidRPr="009C3AC7">
        <w:t>9 430,88</w:t>
      </w:r>
      <w:r w:rsidRPr="009C3AC7">
        <w:t xml:space="preserve"> Eur;</w:t>
      </w:r>
    </w:p>
    <w:p w14:paraId="72F15194" w14:textId="679958B7" w:rsidR="003C45DE" w:rsidRPr="009C3AC7" w:rsidRDefault="003C45DE" w:rsidP="003C45DE">
      <w:pPr>
        <w:ind w:firstLine="567"/>
        <w:jc w:val="both"/>
      </w:pPr>
      <w:r w:rsidRPr="009C3AC7">
        <w:t xml:space="preserve">3.3. Vandentiekio ir kanalizacijos sąnaudos – </w:t>
      </w:r>
      <w:r w:rsidR="00A00468" w:rsidRPr="009C3AC7">
        <w:t>2 492,01</w:t>
      </w:r>
      <w:r w:rsidRPr="009C3AC7">
        <w:t xml:space="preserve"> Eur;</w:t>
      </w:r>
    </w:p>
    <w:p w14:paraId="04254A6F" w14:textId="260F5CDD" w:rsidR="003C45DE" w:rsidRPr="009C3AC7" w:rsidRDefault="003C45DE" w:rsidP="007F5909">
      <w:pPr>
        <w:ind w:firstLine="567"/>
        <w:jc w:val="both"/>
      </w:pPr>
      <w:r w:rsidRPr="009C3AC7">
        <w:t xml:space="preserve">3.4. Ryšių ir interneto paslaugos – </w:t>
      </w:r>
      <w:r w:rsidR="00A00468" w:rsidRPr="009C3AC7">
        <w:t>3 203,49</w:t>
      </w:r>
      <w:r w:rsidRPr="009C3AC7">
        <w:t xml:space="preserve"> Eur</w:t>
      </w:r>
      <w:r w:rsidR="00230638" w:rsidRPr="009C3AC7">
        <w:t>;</w:t>
      </w:r>
    </w:p>
    <w:p w14:paraId="25A54524" w14:textId="7D915B9F" w:rsidR="003C45DE" w:rsidRPr="009C3AC7" w:rsidRDefault="007F5909" w:rsidP="003C45DE">
      <w:pPr>
        <w:ind w:firstLine="567"/>
        <w:jc w:val="both"/>
      </w:pPr>
      <w:r w:rsidRPr="009C3AC7">
        <w:t>4</w:t>
      </w:r>
      <w:r w:rsidR="003C45DE" w:rsidRPr="009C3AC7">
        <w:t xml:space="preserve">. Išlaidos transporto išlaikymui – </w:t>
      </w:r>
      <w:r w:rsidRPr="009C3AC7">
        <w:t>21 161,96</w:t>
      </w:r>
      <w:r w:rsidR="003C45DE" w:rsidRPr="009C3AC7">
        <w:t xml:space="preserve"> Eur</w:t>
      </w:r>
      <w:r w:rsidR="00230638" w:rsidRPr="009C3AC7">
        <w:t>;</w:t>
      </w:r>
    </w:p>
    <w:p w14:paraId="505A451E" w14:textId="7A6442C3" w:rsidR="003C45DE" w:rsidRPr="009C3AC7" w:rsidRDefault="007F5909" w:rsidP="003C45DE">
      <w:pPr>
        <w:ind w:firstLine="567"/>
        <w:jc w:val="both"/>
      </w:pPr>
      <w:r w:rsidRPr="009C3AC7">
        <w:t>5</w:t>
      </w:r>
      <w:r w:rsidR="003C45DE" w:rsidRPr="009C3AC7">
        <w:t xml:space="preserve">. Kvalifikacijos kėlimo išlaidos – </w:t>
      </w:r>
      <w:r w:rsidRPr="009C3AC7">
        <w:t>2 811,20</w:t>
      </w:r>
      <w:r w:rsidR="003C45DE" w:rsidRPr="009C3AC7">
        <w:t xml:space="preserve"> Eur</w:t>
      </w:r>
      <w:r w:rsidR="00230638" w:rsidRPr="009C3AC7">
        <w:t>;</w:t>
      </w:r>
    </w:p>
    <w:p w14:paraId="3BAEC9EA" w14:textId="189AC6C4" w:rsidR="003C45DE" w:rsidRPr="009C3AC7" w:rsidRDefault="007F5909" w:rsidP="007F5909">
      <w:pPr>
        <w:ind w:firstLine="567"/>
        <w:jc w:val="both"/>
      </w:pPr>
      <w:r w:rsidRPr="009C3AC7">
        <w:t>6</w:t>
      </w:r>
      <w:r w:rsidR="003C45DE" w:rsidRPr="009C3AC7">
        <w:t>. Paprastojo remonto ir eksploatavimo sąnaudos</w:t>
      </w:r>
      <w:r w:rsidR="00650191" w:rsidRPr="009C3AC7">
        <w:t xml:space="preserve"> – </w:t>
      </w:r>
      <w:r w:rsidRPr="009C3AC7">
        <w:t>808,44</w:t>
      </w:r>
      <w:r w:rsidR="003C45DE" w:rsidRPr="009C3AC7">
        <w:t xml:space="preserve"> Eur</w:t>
      </w:r>
      <w:r w:rsidR="00230638" w:rsidRPr="009C3AC7">
        <w:t>;</w:t>
      </w:r>
    </w:p>
    <w:p w14:paraId="3B84F923" w14:textId="1137CFC7" w:rsidR="003C45DE" w:rsidRPr="009C3AC7" w:rsidRDefault="007F5909" w:rsidP="003C45DE">
      <w:pPr>
        <w:ind w:firstLine="567"/>
        <w:jc w:val="both"/>
      </w:pPr>
      <w:r w:rsidRPr="009C3AC7">
        <w:t>7</w:t>
      </w:r>
      <w:r w:rsidR="003C45DE" w:rsidRPr="009C3AC7">
        <w:t xml:space="preserve">. Sunaudotų atsargų savikaina – </w:t>
      </w:r>
      <w:r w:rsidRPr="009C3AC7">
        <w:t>125 355,30</w:t>
      </w:r>
      <w:r w:rsidR="003C45DE" w:rsidRPr="009C3AC7">
        <w:t xml:space="preserve"> Eur, iš jų:</w:t>
      </w:r>
    </w:p>
    <w:p w14:paraId="77569977" w14:textId="66AE2E40" w:rsidR="003C45DE" w:rsidRPr="009C3AC7" w:rsidRDefault="00A15DEE" w:rsidP="003C45DE">
      <w:pPr>
        <w:ind w:firstLine="567"/>
        <w:jc w:val="both"/>
      </w:pPr>
      <w:r w:rsidRPr="009C3AC7">
        <w:t>7</w:t>
      </w:r>
      <w:r w:rsidR="003C45DE" w:rsidRPr="009C3AC7">
        <w:t xml:space="preserve">.1. Vaistų, tirpalų, tvarsliavos – </w:t>
      </w:r>
      <w:r w:rsidR="007F5909" w:rsidRPr="009C3AC7">
        <w:t>70 573,83</w:t>
      </w:r>
      <w:r w:rsidR="003C45DE" w:rsidRPr="009C3AC7">
        <w:t xml:space="preserve"> Eur;</w:t>
      </w:r>
    </w:p>
    <w:p w14:paraId="30FC7A31" w14:textId="5367247A" w:rsidR="0078057F" w:rsidRPr="009C3AC7" w:rsidRDefault="00A15DEE" w:rsidP="003C45DE">
      <w:pPr>
        <w:ind w:firstLine="567"/>
        <w:jc w:val="both"/>
      </w:pPr>
      <w:r w:rsidRPr="009C3AC7">
        <w:t>7</w:t>
      </w:r>
      <w:r w:rsidR="0078057F" w:rsidRPr="009C3AC7">
        <w:t>.2. Med</w:t>
      </w:r>
      <w:r w:rsidR="00230638" w:rsidRPr="009C3AC7">
        <w:t>icinos</w:t>
      </w:r>
      <w:r w:rsidR="0078057F" w:rsidRPr="009C3AC7">
        <w:t xml:space="preserve"> pagalbos priemonėms ir reagentams </w:t>
      </w:r>
      <w:r w:rsidR="007F5909" w:rsidRPr="009C3AC7">
        <w:t>3327,15</w:t>
      </w:r>
      <w:r w:rsidR="0078057F" w:rsidRPr="009C3AC7">
        <w:t xml:space="preserve"> Eur</w:t>
      </w:r>
      <w:r w:rsidR="00230638" w:rsidRPr="009C3AC7">
        <w:t>;</w:t>
      </w:r>
    </w:p>
    <w:p w14:paraId="504A5DB2" w14:textId="6143B8BC" w:rsidR="003C45DE" w:rsidRPr="009C3AC7" w:rsidRDefault="00A15DEE" w:rsidP="003C45DE">
      <w:pPr>
        <w:ind w:firstLine="567"/>
        <w:jc w:val="both"/>
      </w:pPr>
      <w:r w:rsidRPr="009C3AC7">
        <w:t>7</w:t>
      </w:r>
      <w:r w:rsidR="003C45DE" w:rsidRPr="009C3AC7">
        <w:t>.</w:t>
      </w:r>
      <w:r w:rsidR="0078057F" w:rsidRPr="009C3AC7">
        <w:t>3</w:t>
      </w:r>
      <w:r w:rsidR="003C45DE" w:rsidRPr="009C3AC7">
        <w:t>. Kitos ūkinės medžia</w:t>
      </w:r>
      <w:r w:rsidR="00650191" w:rsidRPr="009C3AC7">
        <w:t xml:space="preserve">gos ir atsargos – </w:t>
      </w:r>
      <w:r w:rsidR="007F5909" w:rsidRPr="009C3AC7">
        <w:t>51 454,32</w:t>
      </w:r>
      <w:r w:rsidR="00713A95" w:rsidRPr="009C3AC7">
        <w:t xml:space="preserve"> </w:t>
      </w:r>
      <w:r w:rsidR="00650191" w:rsidRPr="009C3AC7">
        <w:t>Eur</w:t>
      </w:r>
      <w:r w:rsidR="00230638" w:rsidRPr="009C3AC7">
        <w:t>;</w:t>
      </w:r>
    </w:p>
    <w:p w14:paraId="7FE908B9" w14:textId="619AAFE6" w:rsidR="00666E56" w:rsidRPr="009C3AC7" w:rsidRDefault="00666E56" w:rsidP="00666E56">
      <w:pPr>
        <w:ind w:firstLine="567"/>
        <w:jc w:val="both"/>
      </w:pPr>
      <w:r w:rsidRPr="009C3AC7">
        <w:t xml:space="preserve">8. Kitų paslaugų sąnaudos – 79 226,64 Eur (darbuotojų transporto išlaidos 10 127,00 Eur, </w:t>
      </w:r>
      <w:r w:rsidRPr="009C3AC7">
        <w:br/>
        <w:t xml:space="preserve">G. Starkuvienės įmonė 23 322,00 Eur, UAB </w:t>
      </w:r>
      <w:r>
        <w:t>,,</w:t>
      </w:r>
      <w:r w:rsidRPr="009C3AC7">
        <w:t>Klaipėdos liftas</w:t>
      </w:r>
      <w:r>
        <w:t>“</w:t>
      </w:r>
      <w:r w:rsidRPr="009C3AC7">
        <w:t xml:space="preserve"> 1 074,48 Eur, UAB SDG 7 546,30 Eur, UAB </w:t>
      </w:r>
      <w:r>
        <w:t>,,</w:t>
      </w:r>
      <w:r w:rsidRPr="009C3AC7">
        <w:t>Diagnostikos laboratorija</w:t>
      </w:r>
      <w:r>
        <w:t>“</w:t>
      </w:r>
      <w:r w:rsidRPr="009C3AC7">
        <w:t xml:space="preserve"> 5 214,10 Eur, UAB </w:t>
      </w:r>
      <w:r>
        <w:t>,,</w:t>
      </w:r>
      <w:r w:rsidRPr="009C3AC7">
        <w:t>Dekbera</w:t>
      </w:r>
      <w:r>
        <w:t>“</w:t>
      </w:r>
      <w:r w:rsidRPr="009C3AC7">
        <w:t xml:space="preserve"> 5 </w:t>
      </w:r>
      <w:r>
        <w:t>808,00</w:t>
      </w:r>
      <w:r w:rsidRPr="009C3AC7">
        <w:t xml:space="preserve"> Eur, UAB </w:t>
      </w:r>
      <w:r>
        <w:t>,,</w:t>
      </w:r>
      <w:r w:rsidRPr="009C3AC7">
        <w:t>Rasa</w:t>
      </w:r>
      <w:r>
        <w:t>“</w:t>
      </w:r>
      <w:r w:rsidRPr="009C3AC7">
        <w:t xml:space="preserve"> 2</w:t>
      </w:r>
      <w:r w:rsidR="00B9789B">
        <w:t> </w:t>
      </w:r>
      <w:r w:rsidRPr="009C3AC7">
        <w:t>618,79</w:t>
      </w:r>
      <w:r w:rsidR="00B9789B">
        <w:t> </w:t>
      </w:r>
      <w:r w:rsidRPr="009C3AC7">
        <w:t xml:space="preserve">Eur, UAB </w:t>
      </w:r>
      <w:r>
        <w:t>,,</w:t>
      </w:r>
      <w:r w:rsidRPr="009C3AC7">
        <w:t>Atvira karta</w:t>
      </w:r>
      <w:r>
        <w:t>“</w:t>
      </w:r>
      <w:r w:rsidRPr="009C3AC7">
        <w:t xml:space="preserve"> 3 648,00 Eur, UAB </w:t>
      </w:r>
      <w:r>
        <w:t>,,</w:t>
      </w:r>
      <w:r w:rsidRPr="009C3AC7">
        <w:t>Inkompas</w:t>
      </w:r>
      <w:r>
        <w:t>“</w:t>
      </w:r>
      <w:r w:rsidRPr="009C3AC7">
        <w:t xml:space="preserve"> 465,85 Eur, advokatų profesinė bendrija iLaw  329,73 Eur, UAB </w:t>
      </w:r>
      <w:r>
        <w:t>,,</w:t>
      </w:r>
      <w:r w:rsidRPr="009C3AC7">
        <w:t>Skaitmeninės inovacijos</w:t>
      </w:r>
      <w:r>
        <w:t>“</w:t>
      </w:r>
      <w:r w:rsidRPr="009C3AC7">
        <w:t xml:space="preserve"> 1 016,40 Eur, UAB ,,Stekas‘‘ 1 626,72 Eur, UAB ,,MedSystem‘‘ </w:t>
      </w:r>
      <w:r>
        <w:t>2 515,65</w:t>
      </w:r>
      <w:r w:rsidRPr="009C3AC7">
        <w:t xml:space="preserve"> Eur, Radiacinės saugos centras 57,84 Eur, einamojo laikotarpio sąnaudos (draudimo, prenumeratos, techn. priežiūros ir kt.) 11 266,72 Eur, UAB ,,Telepartner‘‘ 605,00 Eur, kitos </w:t>
      </w:r>
      <w:r>
        <w:t>1 984,06</w:t>
      </w:r>
      <w:r w:rsidRPr="009C3AC7">
        <w:t xml:space="preserve"> Eur</w:t>
      </w:r>
      <w:r w:rsidR="00B9789B">
        <w:t>)</w:t>
      </w:r>
      <w:r w:rsidRPr="009C3AC7">
        <w:t>;</w:t>
      </w:r>
    </w:p>
    <w:p w14:paraId="35DE2F30" w14:textId="065AF7A7" w:rsidR="003C45DE" w:rsidRPr="009C3AC7" w:rsidRDefault="00A15DEE" w:rsidP="00CC1BF1">
      <w:pPr>
        <w:ind w:left="567"/>
        <w:jc w:val="both"/>
      </w:pPr>
      <w:r w:rsidRPr="009C3AC7">
        <w:t>9</w:t>
      </w:r>
      <w:r w:rsidR="003C45DE" w:rsidRPr="009C3AC7">
        <w:t>. Kit</w:t>
      </w:r>
      <w:r w:rsidR="00F81740" w:rsidRPr="009C3AC7">
        <w:t>os</w:t>
      </w:r>
      <w:r w:rsidR="003C45DE" w:rsidRPr="009C3AC7">
        <w:t xml:space="preserve"> sąnaudos – </w:t>
      </w:r>
      <w:r w:rsidRPr="009C3AC7">
        <w:t>1 190,64</w:t>
      </w:r>
      <w:r w:rsidR="003C45DE" w:rsidRPr="009C3AC7">
        <w:t xml:space="preserve"> Eur </w:t>
      </w:r>
      <w:r w:rsidR="00F81740" w:rsidRPr="009C3AC7">
        <w:t>(darbdavio soc. parama</w:t>
      </w:r>
      <w:r w:rsidRPr="009C3AC7">
        <w:t>, banko mokesčiai ir kt.)</w:t>
      </w:r>
      <w:r w:rsidR="001A6DFD" w:rsidRPr="009C3AC7">
        <w:t>;</w:t>
      </w:r>
    </w:p>
    <w:p w14:paraId="27C527CB" w14:textId="23ABE8E3" w:rsidR="003C45DE" w:rsidRDefault="003C45DE" w:rsidP="003C45DE">
      <w:pPr>
        <w:ind w:firstLine="567"/>
        <w:jc w:val="both"/>
      </w:pPr>
      <w:r w:rsidRPr="009C3AC7">
        <w:t>1</w:t>
      </w:r>
      <w:r w:rsidR="00DF3574" w:rsidRPr="009C3AC7">
        <w:t>0</w:t>
      </w:r>
      <w:r w:rsidRPr="009C3AC7">
        <w:t xml:space="preserve">. Nuomos sąnaudos </w:t>
      </w:r>
      <w:r w:rsidR="00A15DEE" w:rsidRPr="009C3AC7">
        <w:t>5 708,06</w:t>
      </w:r>
      <w:r w:rsidRPr="009C3AC7">
        <w:t xml:space="preserve"> Eur</w:t>
      </w:r>
      <w:r w:rsidR="00452F95" w:rsidRPr="009C3AC7">
        <w:t>.</w:t>
      </w:r>
    </w:p>
    <w:p w14:paraId="151218BF" w14:textId="77777777" w:rsidR="00CC1BF1" w:rsidRPr="009C3AC7" w:rsidRDefault="00CC1BF1" w:rsidP="003C45DE">
      <w:pPr>
        <w:ind w:firstLine="567"/>
        <w:jc w:val="both"/>
      </w:pPr>
    </w:p>
    <w:p w14:paraId="09B12C2B" w14:textId="0F6C9932" w:rsidR="003C45DE" w:rsidRPr="009C3AC7" w:rsidRDefault="00F734F0" w:rsidP="00F734F0">
      <w:pPr>
        <w:jc w:val="center"/>
        <w:rPr>
          <w:i/>
          <w:iCs/>
        </w:rPr>
      </w:pPr>
      <w:r w:rsidRPr="009C3AC7">
        <w:rPr>
          <w:i/>
          <w:iCs/>
          <w:noProof/>
        </w:rPr>
        <w:lastRenderedPageBreak/>
        <w:drawing>
          <wp:inline distT="0" distB="0" distL="0" distR="0" wp14:anchorId="2BFE68D8" wp14:editId="55B03B90">
            <wp:extent cx="5743575" cy="4029075"/>
            <wp:effectExtent l="0" t="0" r="9525" b="95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5767EA1" w14:textId="395C823D" w:rsidR="00547C93" w:rsidRPr="009C3AC7" w:rsidRDefault="00547C93" w:rsidP="00547C93">
      <w:pPr>
        <w:ind w:firstLine="567"/>
        <w:jc w:val="both"/>
        <w:rPr>
          <w:i/>
          <w:iCs/>
        </w:rPr>
      </w:pPr>
      <w:r w:rsidRPr="009C3AC7">
        <w:rPr>
          <w:i/>
          <w:iCs/>
        </w:rPr>
        <w:t>20</w:t>
      </w:r>
      <w:r w:rsidR="00E45525" w:rsidRPr="009C3AC7">
        <w:rPr>
          <w:i/>
          <w:iCs/>
        </w:rPr>
        <w:t>2</w:t>
      </w:r>
      <w:r w:rsidR="00E754DA" w:rsidRPr="009C3AC7">
        <w:rPr>
          <w:i/>
          <w:iCs/>
        </w:rPr>
        <w:t>1</w:t>
      </w:r>
      <w:r w:rsidRPr="009C3AC7">
        <w:rPr>
          <w:i/>
          <w:iCs/>
        </w:rPr>
        <w:t xml:space="preserve"> metų finansinis įstaigos rezultatas yra teigiamas – </w:t>
      </w:r>
      <w:r w:rsidR="00E754DA" w:rsidRPr="009C3AC7">
        <w:rPr>
          <w:i/>
          <w:iCs/>
        </w:rPr>
        <w:t xml:space="preserve"> 36 952,04</w:t>
      </w:r>
      <w:r w:rsidRPr="009C3AC7">
        <w:rPr>
          <w:i/>
          <w:iCs/>
        </w:rPr>
        <w:t xml:space="preserve"> Eur.</w:t>
      </w:r>
    </w:p>
    <w:p w14:paraId="599A2DA9" w14:textId="77777777" w:rsidR="00B7684F" w:rsidRPr="009C3AC7" w:rsidRDefault="00B7684F" w:rsidP="00091D67">
      <w:pPr>
        <w:jc w:val="center"/>
        <w:rPr>
          <w:b/>
          <w:i/>
          <w:iCs/>
        </w:rPr>
      </w:pPr>
    </w:p>
    <w:p w14:paraId="0DE4CAAC" w14:textId="0699E95C" w:rsidR="00547C93" w:rsidRPr="009C3AC7" w:rsidRDefault="00650191" w:rsidP="00091D67">
      <w:pPr>
        <w:jc w:val="center"/>
        <w:rPr>
          <w:b/>
        </w:rPr>
      </w:pPr>
      <w:r w:rsidRPr="009C3AC7">
        <w:rPr>
          <w:b/>
        </w:rPr>
        <w:t xml:space="preserve">Neringos </w:t>
      </w:r>
      <w:r w:rsidR="00547C93" w:rsidRPr="009C3AC7">
        <w:rPr>
          <w:b/>
        </w:rPr>
        <w:t>PSPC darbuotojų skaičius finansinių metų pradžioje ir pabaigoje</w:t>
      </w:r>
    </w:p>
    <w:p w14:paraId="1D3FD658" w14:textId="77777777" w:rsidR="00547C93" w:rsidRPr="009C3AC7" w:rsidRDefault="00547C93" w:rsidP="00547C93">
      <w:pPr>
        <w:ind w:firstLine="567"/>
        <w:jc w:val="center"/>
        <w:rPr>
          <w:b/>
        </w:rPr>
      </w:pPr>
    </w:p>
    <w:p w14:paraId="350EA7BD" w14:textId="5893C6E6" w:rsidR="00547C93" w:rsidRPr="009C3AC7" w:rsidRDefault="00547C93" w:rsidP="00547C93">
      <w:pPr>
        <w:ind w:firstLine="567"/>
        <w:jc w:val="both"/>
      </w:pPr>
      <w:r w:rsidRPr="009C3AC7">
        <w:t>Neringos PSPC finansinių metų pradžioje įstaigoje dirbo 4</w:t>
      </w:r>
      <w:r w:rsidR="00E50194" w:rsidRPr="009C3AC7">
        <w:t>8</w:t>
      </w:r>
      <w:r w:rsidR="009070F7" w:rsidRPr="009C3AC7">
        <w:t xml:space="preserve"> </w:t>
      </w:r>
      <w:r w:rsidRPr="009C3AC7">
        <w:t>darbuotojai</w:t>
      </w:r>
      <w:r w:rsidR="00650191" w:rsidRPr="009C3AC7">
        <w:t xml:space="preserve">, </w:t>
      </w:r>
      <w:r w:rsidRPr="009C3AC7">
        <w:t>20</w:t>
      </w:r>
      <w:r w:rsidR="00E50194" w:rsidRPr="009C3AC7">
        <w:t>2</w:t>
      </w:r>
      <w:r w:rsidR="00E754DA" w:rsidRPr="009C3AC7">
        <w:t>1</w:t>
      </w:r>
      <w:r w:rsidR="00650191" w:rsidRPr="009C3AC7">
        <w:t xml:space="preserve"> m. gruodžio 31 d. </w:t>
      </w:r>
      <w:r w:rsidRPr="009C3AC7">
        <w:t>– 4</w:t>
      </w:r>
      <w:r w:rsidR="00E754DA" w:rsidRPr="009C3AC7">
        <w:t>7</w:t>
      </w:r>
      <w:r w:rsidRPr="009C3AC7">
        <w:t xml:space="preserve"> darbuotojai. </w:t>
      </w:r>
    </w:p>
    <w:p w14:paraId="3A19300F" w14:textId="77777777" w:rsidR="00F37701" w:rsidRPr="009C3AC7" w:rsidRDefault="00F37701" w:rsidP="00F37701">
      <w:pPr>
        <w:ind w:firstLine="567"/>
        <w:jc w:val="both"/>
      </w:pPr>
      <w:r w:rsidRPr="009C3AC7">
        <w:t xml:space="preserve">Sąnaudos darbo užmokesčiui – 1 185 296,30 Eur, pagrindinės veiklos 2021 m. sąnaudos </w:t>
      </w:r>
      <w:r w:rsidRPr="009C3AC7">
        <w:br/>
        <w:t xml:space="preserve">1 498 033,86 Eur. Sąnaudų darbo užmokesčiui dalis procentais –  79,12 proc. </w:t>
      </w:r>
    </w:p>
    <w:p w14:paraId="0BD30951" w14:textId="77777777" w:rsidR="00F37701" w:rsidRPr="009C3AC7" w:rsidRDefault="00F37701" w:rsidP="00547C93">
      <w:pPr>
        <w:ind w:firstLine="567"/>
        <w:jc w:val="both"/>
      </w:pPr>
    </w:p>
    <w:p w14:paraId="67775446" w14:textId="57FAFF30" w:rsidR="00091D67" w:rsidRPr="009C3AC7" w:rsidRDefault="00091D67" w:rsidP="00091D67">
      <w:pPr>
        <w:ind w:firstLine="567"/>
        <w:jc w:val="center"/>
        <w:rPr>
          <w:b/>
          <w:shd w:val="clear" w:color="auto" w:fill="FFFFFF"/>
        </w:rPr>
      </w:pPr>
      <w:r w:rsidRPr="009C3AC7">
        <w:rPr>
          <w:b/>
          <w:shd w:val="clear" w:color="auto" w:fill="FFFFFF"/>
        </w:rPr>
        <w:t>Veiklos prioritetai</w:t>
      </w:r>
    </w:p>
    <w:p w14:paraId="531CB8EA" w14:textId="4ABFF21E" w:rsidR="00091D67" w:rsidRPr="009C3AC7" w:rsidRDefault="00091D67" w:rsidP="00091D67">
      <w:pPr>
        <w:ind w:firstLine="567"/>
        <w:jc w:val="center"/>
        <w:rPr>
          <w:b/>
          <w:shd w:val="clear" w:color="auto" w:fill="FFFFFF"/>
        </w:rPr>
      </w:pPr>
    </w:p>
    <w:p w14:paraId="2930A333" w14:textId="7554DB68" w:rsidR="00091D67" w:rsidRPr="009C3AC7" w:rsidRDefault="00091D67" w:rsidP="00091D67">
      <w:pPr>
        <w:ind w:firstLine="567"/>
        <w:jc w:val="both"/>
      </w:pPr>
      <w:r w:rsidRPr="009C3AC7">
        <w:t>PAASP paslaugų teikimas visą parą ir sveikatos priežiūros paslaugų prieinamumas, priimtinumas ir savalaikiškumo užtikrinimas apdraustiems privalomuoju sveikatos draudimu asmenims, prisirašiusiems prie įstaigos ir kurorto svečiams, prevencinių programų vykdymas bei informavimas yra pagrindiniai įstaigos veiklos prioritetai.</w:t>
      </w:r>
    </w:p>
    <w:p w14:paraId="7BF565E7" w14:textId="77777777" w:rsidR="00A92849" w:rsidRPr="009C3AC7" w:rsidRDefault="00A92849" w:rsidP="00091D67">
      <w:pPr>
        <w:ind w:firstLine="567"/>
        <w:jc w:val="center"/>
        <w:rPr>
          <w:b/>
          <w:shd w:val="clear" w:color="auto" w:fill="FFFFFF"/>
        </w:rPr>
      </w:pPr>
    </w:p>
    <w:p w14:paraId="5EBEE515" w14:textId="77777777" w:rsidR="00F47735" w:rsidRPr="009C3AC7" w:rsidRDefault="00F47735" w:rsidP="00D547D5">
      <w:pPr>
        <w:autoSpaceDE w:val="0"/>
        <w:autoSpaceDN w:val="0"/>
        <w:adjustRightInd w:val="0"/>
        <w:jc w:val="both"/>
      </w:pPr>
    </w:p>
    <w:p w14:paraId="06946A64" w14:textId="731740C0" w:rsidR="00807BBA" w:rsidRPr="009C3AC7" w:rsidRDefault="00D56538" w:rsidP="00D56538">
      <w:pPr>
        <w:autoSpaceDE w:val="0"/>
        <w:autoSpaceDN w:val="0"/>
        <w:adjustRightInd w:val="0"/>
        <w:jc w:val="both"/>
      </w:pPr>
      <w:r>
        <w:t>Ataskaitą parengė</w:t>
      </w:r>
    </w:p>
    <w:p w14:paraId="5DACBCE4" w14:textId="00A49197" w:rsidR="001D3F73" w:rsidRDefault="00DC1029" w:rsidP="007556F3">
      <w:pPr>
        <w:autoSpaceDE w:val="0"/>
        <w:autoSpaceDN w:val="0"/>
        <w:adjustRightInd w:val="0"/>
        <w:jc w:val="both"/>
      </w:pPr>
      <w:r w:rsidRPr="009C3AC7">
        <w:t>Direktorė</w:t>
      </w:r>
      <w:r w:rsidR="000E47D6" w:rsidRPr="009C3AC7">
        <w:t xml:space="preserve">  </w:t>
      </w:r>
      <w:r w:rsidRPr="009C3AC7">
        <w:t>Violeta Prekevičienė</w:t>
      </w:r>
    </w:p>
    <w:p w14:paraId="4471F92A" w14:textId="0A077A5C" w:rsidR="00D56538" w:rsidRPr="009C3AC7" w:rsidRDefault="00D56538" w:rsidP="00D56538">
      <w:pPr>
        <w:autoSpaceDE w:val="0"/>
        <w:autoSpaceDN w:val="0"/>
        <w:adjustRightInd w:val="0"/>
        <w:jc w:val="center"/>
      </w:pPr>
      <w:r>
        <w:t>_________________________</w:t>
      </w:r>
    </w:p>
    <w:sectPr w:rsidR="00D56538" w:rsidRPr="009C3AC7" w:rsidSect="00E1748D">
      <w:headerReference w:type="default" r:id="rId14"/>
      <w:footerReference w:type="default" r:id="rId15"/>
      <w:pgSz w:w="12240" w:h="15840"/>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FB56E" w14:textId="77777777" w:rsidR="00DA5CAF" w:rsidRDefault="00DA5CAF" w:rsidP="00910095">
      <w:r>
        <w:separator/>
      </w:r>
    </w:p>
  </w:endnote>
  <w:endnote w:type="continuationSeparator" w:id="0">
    <w:p w14:paraId="7813B076" w14:textId="77777777" w:rsidR="00DA5CAF" w:rsidRDefault="00DA5CAF" w:rsidP="0091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EC1E" w14:textId="38E1319C" w:rsidR="00A31F27" w:rsidRDefault="00A31F27" w:rsidP="00F06AF0">
    <w:pPr>
      <w:pStyle w:val="Porat"/>
      <w:jc w:val="center"/>
    </w:pPr>
  </w:p>
  <w:p w14:paraId="6A34A8BF" w14:textId="77777777" w:rsidR="00A31F27" w:rsidRDefault="00A31F2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55BB2" w14:textId="77777777" w:rsidR="00DA5CAF" w:rsidRDefault="00DA5CAF" w:rsidP="00910095">
      <w:r>
        <w:separator/>
      </w:r>
    </w:p>
  </w:footnote>
  <w:footnote w:type="continuationSeparator" w:id="0">
    <w:p w14:paraId="099A9BC6" w14:textId="77777777" w:rsidR="00DA5CAF" w:rsidRDefault="00DA5CAF" w:rsidP="00910095">
      <w:r>
        <w:continuationSeparator/>
      </w:r>
    </w:p>
  </w:footnote>
  <w:footnote w:id="1">
    <w:p w14:paraId="5F29404F" w14:textId="088B9A3F" w:rsidR="00A31F27" w:rsidRPr="00D306D0" w:rsidRDefault="00A31F27" w:rsidP="008D3C06">
      <w:pPr>
        <w:pStyle w:val="Puslapioinaostekstas"/>
        <w:rPr>
          <w:rFonts w:ascii="Times New Roman" w:hAnsi="Times New Roman" w:cs="Times New Roman"/>
        </w:rPr>
      </w:pPr>
      <w:r w:rsidRPr="00D306D0">
        <w:rPr>
          <w:rStyle w:val="Puslapioinaosnuoroda"/>
          <w:rFonts w:ascii="Times New Roman" w:hAnsi="Times New Roman" w:cs="Times New Roman"/>
        </w:rPr>
        <w:footnoteRef/>
      </w:r>
      <w:r w:rsidRPr="00D306D0">
        <w:rPr>
          <w:rFonts w:ascii="Times New Roman" w:hAnsi="Times New Roman" w:cs="Times New Roman"/>
        </w:rPr>
        <w:t xml:space="preserve"> Prieiga per internetą: https://www.esveikata.lt/statistika/espbi-stat/doc.php?ja=152765472&amp;doc=*&amp;jar_title=Vie%C5%A1oji+%C4%AFstaiga+Neringos+pirmin%C4%97s+sveikatos+prie%C5%BEi%C5%ABros+centras&amp;period=year%3A2020</w:t>
      </w:r>
    </w:p>
  </w:footnote>
  <w:footnote w:id="2">
    <w:p w14:paraId="53664F8A" w14:textId="584E436E" w:rsidR="00A31F27" w:rsidRPr="00D306D0" w:rsidRDefault="00A31F27" w:rsidP="00D306D0">
      <w:pPr>
        <w:pStyle w:val="Puslapioinaostekstas"/>
        <w:jc w:val="both"/>
        <w:rPr>
          <w:rFonts w:ascii="Times New Roman" w:hAnsi="Times New Roman" w:cs="Times New Roman"/>
        </w:rPr>
      </w:pPr>
      <w:r w:rsidRPr="00D306D0">
        <w:rPr>
          <w:rStyle w:val="Puslapioinaosnuoroda"/>
          <w:rFonts w:ascii="Times New Roman" w:hAnsi="Times New Roman" w:cs="Times New Roman"/>
        </w:rPr>
        <w:footnoteRef/>
      </w:r>
      <w:r w:rsidRPr="00D306D0">
        <w:rPr>
          <w:rFonts w:ascii="Times New Roman" w:hAnsi="Times New Roman" w:cs="Times New Roman"/>
        </w:rPr>
        <w:t xml:space="preserve"> Remiantis Lietuvos Respublikos sveikatos apsaugos ministro 2020 m. balandžio 30 d. įsakymu Nr. V-1057 „Dėl Asmens sveikatos priežiūros įstaigų išlaidų darbo užmokesčio padidinimui dėl COVID-19 ligos (koronaviruso infekcijos) kompensavimo Privalomojo sveikatos draudimo fondo lėšomis tvarkos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96905"/>
      <w:docPartObj>
        <w:docPartGallery w:val="Page Numbers (Top of Page)"/>
        <w:docPartUnique/>
      </w:docPartObj>
    </w:sdtPr>
    <w:sdtEndPr/>
    <w:sdtContent>
      <w:p w14:paraId="03F75CEE" w14:textId="49BD13AD" w:rsidR="00A31F27" w:rsidRDefault="00A31F27">
        <w:pPr>
          <w:pStyle w:val="Antrats"/>
          <w:jc w:val="center"/>
        </w:pPr>
        <w:r>
          <w:fldChar w:fldCharType="begin"/>
        </w:r>
        <w:r>
          <w:instrText>PAGE   \* MERGEFORMAT</w:instrText>
        </w:r>
        <w:r>
          <w:fldChar w:fldCharType="separate"/>
        </w:r>
        <w:r>
          <w:rPr>
            <w:noProof/>
          </w:rPr>
          <w:t>17</w:t>
        </w:r>
        <w:r>
          <w:fldChar w:fldCharType="end"/>
        </w:r>
      </w:p>
    </w:sdtContent>
  </w:sdt>
  <w:p w14:paraId="6BDCE798" w14:textId="77777777" w:rsidR="00A31F27" w:rsidRDefault="00A31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9961"/>
        </w:tabs>
        <w:ind w:left="9961" w:firstLine="0"/>
      </w:pPr>
    </w:lvl>
    <w:lvl w:ilvl="1">
      <w:start w:val="1"/>
      <w:numFmt w:val="none"/>
      <w:suff w:val="nothing"/>
      <w:lvlText w:val=""/>
      <w:lvlJc w:val="left"/>
      <w:pPr>
        <w:tabs>
          <w:tab w:val="num" w:pos="9961"/>
        </w:tabs>
        <w:ind w:left="9961" w:firstLine="0"/>
      </w:pPr>
    </w:lvl>
    <w:lvl w:ilvl="2">
      <w:start w:val="1"/>
      <w:numFmt w:val="none"/>
      <w:suff w:val="nothing"/>
      <w:lvlText w:val=""/>
      <w:lvlJc w:val="left"/>
      <w:pPr>
        <w:tabs>
          <w:tab w:val="num" w:pos="9961"/>
        </w:tabs>
        <w:ind w:left="9961" w:firstLine="0"/>
      </w:pPr>
    </w:lvl>
    <w:lvl w:ilvl="3">
      <w:start w:val="1"/>
      <w:numFmt w:val="none"/>
      <w:suff w:val="nothing"/>
      <w:lvlText w:val=""/>
      <w:lvlJc w:val="left"/>
      <w:pPr>
        <w:tabs>
          <w:tab w:val="num" w:pos="9961"/>
        </w:tabs>
        <w:ind w:left="9961" w:firstLine="0"/>
      </w:pPr>
    </w:lvl>
    <w:lvl w:ilvl="4">
      <w:start w:val="1"/>
      <w:numFmt w:val="none"/>
      <w:suff w:val="nothing"/>
      <w:lvlText w:val=""/>
      <w:lvlJc w:val="left"/>
      <w:pPr>
        <w:tabs>
          <w:tab w:val="num" w:pos="9961"/>
        </w:tabs>
        <w:ind w:left="9961" w:firstLine="0"/>
      </w:pPr>
    </w:lvl>
    <w:lvl w:ilvl="5">
      <w:start w:val="1"/>
      <w:numFmt w:val="none"/>
      <w:suff w:val="nothing"/>
      <w:lvlText w:val=""/>
      <w:lvlJc w:val="left"/>
      <w:pPr>
        <w:tabs>
          <w:tab w:val="num" w:pos="9961"/>
        </w:tabs>
        <w:ind w:left="9961" w:firstLine="0"/>
      </w:pPr>
    </w:lvl>
    <w:lvl w:ilvl="6">
      <w:start w:val="1"/>
      <w:numFmt w:val="none"/>
      <w:suff w:val="nothing"/>
      <w:lvlText w:val=""/>
      <w:lvlJc w:val="left"/>
      <w:pPr>
        <w:tabs>
          <w:tab w:val="num" w:pos="9961"/>
        </w:tabs>
        <w:ind w:left="9961" w:firstLine="0"/>
      </w:pPr>
    </w:lvl>
    <w:lvl w:ilvl="7">
      <w:start w:val="1"/>
      <w:numFmt w:val="none"/>
      <w:suff w:val="nothing"/>
      <w:lvlText w:val=""/>
      <w:lvlJc w:val="left"/>
      <w:pPr>
        <w:tabs>
          <w:tab w:val="num" w:pos="9961"/>
        </w:tabs>
        <w:ind w:left="9961" w:firstLine="0"/>
      </w:pPr>
    </w:lvl>
    <w:lvl w:ilvl="8">
      <w:start w:val="1"/>
      <w:numFmt w:val="none"/>
      <w:suff w:val="nothing"/>
      <w:lvlText w:val=""/>
      <w:lvlJc w:val="left"/>
      <w:pPr>
        <w:tabs>
          <w:tab w:val="num" w:pos="9961"/>
        </w:tabs>
        <w:ind w:left="9961" w:firstLine="0"/>
      </w:pPr>
    </w:lvl>
  </w:abstractNum>
  <w:abstractNum w:abstractNumId="1" w15:restartNumberingAfterBreak="0">
    <w:nsid w:val="031D2F7B"/>
    <w:multiLevelType w:val="hybridMultilevel"/>
    <w:tmpl w:val="8E9466FE"/>
    <w:lvl w:ilvl="0" w:tplc="6BFE7532">
      <w:start w:val="1"/>
      <w:numFmt w:val="bullet"/>
      <w:lvlText w:val=""/>
      <w:lvlJc w:val="left"/>
      <w:pPr>
        <w:ind w:left="1287" w:hanging="360"/>
      </w:pPr>
      <w:rPr>
        <w:rFonts w:ascii="Wingdings" w:hAnsi="Wingdings"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 w15:restartNumberingAfterBreak="0">
    <w:nsid w:val="081651A7"/>
    <w:multiLevelType w:val="multilevel"/>
    <w:tmpl w:val="7D721382"/>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96F2949"/>
    <w:multiLevelType w:val="hybridMultilevel"/>
    <w:tmpl w:val="584CCC84"/>
    <w:lvl w:ilvl="0" w:tplc="0604160E">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065F22"/>
    <w:multiLevelType w:val="hybridMultilevel"/>
    <w:tmpl w:val="CBAC44A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5" w15:restartNumberingAfterBreak="0">
    <w:nsid w:val="10566D33"/>
    <w:multiLevelType w:val="hybridMultilevel"/>
    <w:tmpl w:val="89F2AB26"/>
    <w:lvl w:ilvl="0" w:tplc="FB0A4D14">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0232619"/>
    <w:multiLevelType w:val="hybridMultilevel"/>
    <w:tmpl w:val="741CBB1E"/>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20AA4A0D"/>
    <w:multiLevelType w:val="hybridMultilevel"/>
    <w:tmpl w:val="2AFA082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15:restartNumberingAfterBreak="0">
    <w:nsid w:val="2CF5639F"/>
    <w:multiLevelType w:val="multilevel"/>
    <w:tmpl w:val="319A3B62"/>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0A156E6"/>
    <w:multiLevelType w:val="multilevel"/>
    <w:tmpl w:val="0CC652C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375F0974"/>
    <w:multiLevelType w:val="hybridMultilevel"/>
    <w:tmpl w:val="FB7C7C48"/>
    <w:lvl w:ilvl="0" w:tplc="3606EF48">
      <w:start w:val="5"/>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1" w15:restartNumberingAfterBreak="0">
    <w:nsid w:val="38CD56E7"/>
    <w:multiLevelType w:val="hybridMultilevel"/>
    <w:tmpl w:val="62F017BE"/>
    <w:lvl w:ilvl="0" w:tplc="E3CEDC50">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9F10A67"/>
    <w:multiLevelType w:val="multilevel"/>
    <w:tmpl w:val="7A9AC4C0"/>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4AC2494C"/>
    <w:multiLevelType w:val="multilevel"/>
    <w:tmpl w:val="3778428E"/>
    <w:lvl w:ilvl="0">
      <w:start w:val="1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588B1475"/>
    <w:multiLevelType w:val="hybridMultilevel"/>
    <w:tmpl w:val="959E75F8"/>
    <w:lvl w:ilvl="0" w:tplc="65500E72">
      <w:numFmt w:val="bullet"/>
      <w:lvlText w:val="-"/>
      <w:lvlJc w:val="left"/>
      <w:pPr>
        <w:ind w:left="585" w:hanging="360"/>
      </w:pPr>
      <w:rPr>
        <w:rFonts w:ascii="Times New Roman" w:eastAsia="Lucida Sans Unicode" w:hAnsi="Times New Roman" w:cs="Times New Roman" w:hint="default"/>
      </w:rPr>
    </w:lvl>
    <w:lvl w:ilvl="1" w:tplc="04270003" w:tentative="1">
      <w:start w:val="1"/>
      <w:numFmt w:val="bullet"/>
      <w:lvlText w:val="o"/>
      <w:lvlJc w:val="left"/>
      <w:pPr>
        <w:ind w:left="1305" w:hanging="360"/>
      </w:pPr>
      <w:rPr>
        <w:rFonts w:ascii="Courier New" w:hAnsi="Courier New" w:cs="Courier New" w:hint="default"/>
      </w:rPr>
    </w:lvl>
    <w:lvl w:ilvl="2" w:tplc="04270005" w:tentative="1">
      <w:start w:val="1"/>
      <w:numFmt w:val="bullet"/>
      <w:lvlText w:val=""/>
      <w:lvlJc w:val="left"/>
      <w:pPr>
        <w:ind w:left="2025" w:hanging="360"/>
      </w:pPr>
      <w:rPr>
        <w:rFonts w:ascii="Wingdings" w:hAnsi="Wingdings" w:hint="default"/>
      </w:rPr>
    </w:lvl>
    <w:lvl w:ilvl="3" w:tplc="04270001" w:tentative="1">
      <w:start w:val="1"/>
      <w:numFmt w:val="bullet"/>
      <w:lvlText w:val=""/>
      <w:lvlJc w:val="left"/>
      <w:pPr>
        <w:ind w:left="2745" w:hanging="360"/>
      </w:pPr>
      <w:rPr>
        <w:rFonts w:ascii="Symbol" w:hAnsi="Symbol" w:hint="default"/>
      </w:rPr>
    </w:lvl>
    <w:lvl w:ilvl="4" w:tplc="04270003" w:tentative="1">
      <w:start w:val="1"/>
      <w:numFmt w:val="bullet"/>
      <w:lvlText w:val="o"/>
      <w:lvlJc w:val="left"/>
      <w:pPr>
        <w:ind w:left="3465" w:hanging="360"/>
      </w:pPr>
      <w:rPr>
        <w:rFonts w:ascii="Courier New" w:hAnsi="Courier New" w:cs="Courier New" w:hint="default"/>
      </w:rPr>
    </w:lvl>
    <w:lvl w:ilvl="5" w:tplc="04270005" w:tentative="1">
      <w:start w:val="1"/>
      <w:numFmt w:val="bullet"/>
      <w:lvlText w:val=""/>
      <w:lvlJc w:val="left"/>
      <w:pPr>
        <w:ind w:left="4185" w:hanging="360"/>
      </w:pPr>
      <w:rPr>
        <w:rFonts w:ascii="Wingdings" w:hAnsi="Wingdings" w:hint="default"/>
      </w:rPr>
    </w:lvl>
    <w:lvl w:ilvl="6" w:tplc="04270001" w:tentative="1">
      <w:start w:val="1"/>
      <w:numFmt w:val="bullet"/>
      <w:lvlText w:val=""/>
      <w:lvlJc w:val="left"/>
      <w:pPr>
        <w:ind w:left="4905" w:hanging="360"/>
      </w:pPr>
      <w:rPr>
        <w:rFonts w:ascii="Symbol" w:hAnsi="Symbol" w:hint="default"/>
      </w:rPr>
    </w:lvl>
    <w:lvl w:ilvl="7" w:tplc="04270003" w:tentative="1">
      <w:start w:val="1"/>
      <w:numFmt w:val="bullet"/>
      <w:lvlText w:val="o"/>
      <w:lvlJc w:val="left"/>
      <w:pPr>
        <w:ind w:left="5625" w:hanging="360"/>
      </w:pPr>
      <w:rPr>
        <w:rFonts w:ascii="Courier New" w:hAnsi="Courier New" w:cs="Courier New" w:hint="default"/>
      </w:rPr>
    </w:lvl>
    <w:lvl w:ilvl="8" w:tplc="04270005" w:tentative="1">
      <w:start w:val="1"/>
      <w:numFmt w:val="bullet"/>
      <w:lvlText w:val=""/>
      <w:lvlJc w:val="left"/>
      <w:pPr>
        <w:ind w:left="6345" w:hanging="360"/>
      </w:pPr>
      <w:rPr>
        <w:rFonts w:ascii="Wingdings" w:hAnsi="Wingdings" w:hint="default"/>
      </w:rPr>
    </w:lvl>
  </w:abstractNum>
  <w:abstractNum w:abstractNumId="15" w15:restartNumberingAfterBreak="0">
    <w:nsid w:val="59113615"/>
    <w:multiLevelType w:val="hybridMultilevel"/>
    <w:tmpl w:val="AF7801C2"/>
    <w:lvl w:ilvl="0" w:tplc="55169F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9B001E2"/>
    <w:multiLevelType w:val="hybridMultilevel"/>
    <w:tmpl w:val="101C5B5C"/>
    <w:lvl w:ilvl="0" w:tplc="E026C2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1205114"/>
    <w:multiLevelType w:val="hybridMultilevel"/>
    <w:tmpl w:val="2C0AF3C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8" w15:restartNumberingAfterBreak="0">
    <w:nsid w:val="659D0834"/>
    <w:multiLevelType w:val="hybridMultilevel"/>
    <w:tmpl w:val="AD82CD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5BF1EAE"/>
    <w:multiLevelType w:val="hybridMultilevel"/>
    <w:tmpl w:val="29784DAA"/>
    <w:lvl w:ilvl="0" w:tplc="DD56CB1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6D1B6C16"/>
    <w:multiLevelType w:val="hybridMultilevel"/>
    <w:tmpl w:val="F1BA20FE"/>
    <w:lvl w:ilvl="0" w:tplc="E80A7CB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6D65105B"/>
    <w:multiLevelType w:val="hybridMultilevel"/>
    <w:tmpl w:val="CE845C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090EAA"/>
    <w:multiLevelType w:val="multilevel"/>
    <w:tmpl w:val="6CAC594C"/>
    <w:lvl w:ilvl="0">
      <w:start w:val="1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7B00051D"/>
    <w:multiLevelType w:val="multilevel"/>
    <w:tmpl w:val="AF606206"/>
    <w:lvl w:ilvl="0">
      <w:start w:val="2018"/>
      <w:numFmt w:val="decimal"/>
      <w:lvlText w:val="%1"/>
      <w:lvlJc w:val="left"/>
      <w:pPr>
        <w:ind w:left="1110" w:hanging="1110"/>
      </w:pPr>
      <w:rPr>
        <w:rFonts w:hint="default"/>
      </w:rPr>
    </w:lvl>
    <w:lvl w:ilvl="1">
      <w:start w:val="1"/>
      <w:numFmt w:val="decimalZero"/>
      <w:lvlText w:val="%1-%2"/>
      <w:lvlJc w:val="left"/>
      <w:pPr>
        <w:ind w:left="1464" w:hanging="1110"/>
      </w:pPr>
      <w:rPr>
        <w:rFonts w:hint="default"/>
      </w:rPr>
    </w:lvl>
    <w:lvl w:ilvl="2">
      <w:start w:val="1"/>
      <w:numFmt w:val="decimalZero"/>
      <w:lvlText w:val="%1-%2-%3"/>
      <w:lvlJc w:val="left"/>
      <w:pPr>
        <w:ind w:left="1818" w:hanging="1110"/>
      </w:pPr>
      <w:rPr>
        <w:rFonts w:hint="default"/>
      </w:rPr>
    </w:lvl>
    <w:lvl w:ilvl="3">
      <w:start w:val="1"/>
      <w:numFmt w:val="decimal"/>
      <w:lvlText w:val="%1-%2-%3.%4"/>
      <w:lvlJc w:val="left"/>
      <w:pPr>
        <w:ind w:left="2172" w:hanging="1110"/>
      </w:pPr>
      <w:rPr>
        <w:rFonts w:hint="default"/>
      </w:rPr>
    </w:lvl>
    <w:lvl w:ilvl="4">
      <w:start w:val="1"/>
      <w:numFmt w:val="decimal"/>
      <w:lvlText w:val="%1-%2-%3.%4.%5"/>
      <w:lvlJc w:val="left"/>
      <w:pPr>
        <w:ind w:left="2526" w:hanging="1110"/>
      </w:pPr>
      <w:rPr>
        <w:rFonts w:hint="default"/>
      </w:rPr>
    </w:lvl>
    <w:lvl w:ilvl="5">
      <w:start w:val="1"/>
      <w:numFmt w:val="decimal"/>
      <w:lvlText w:val="%1-%2-%3.%4.%5.%6"/>
      <w:lvlJc w:val="left"/>
      <w:pPr>
        <w:ind w:left="2880" w:hanging="111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7C8669ED"/>
    <w:multiLevelType w:val="multilevel"/>
    <w:tmpl w:val="0A68A2D6"/>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16cid:durableId="991830092">
    <w:abstractNumId w:val="0"/>
  </w:num>
  <w:num w:numId="2" w16cid:durableId="215511194">
    <w:abstractNumId w:val="12"/>
  </w:num>
  <w:num w:numId="3" w16cid:durableId="966279134">
    <w:abstractNumId w:val="9"/>
  </w:num>
  <w:num w:numId="4" w16cid:durableId="1479178974">
    <w:abstractNumId w:val="13"/>
  </w:num>
  <w:num w:numId="5" w16cid:durableId="1623076372">
    <w:abstractNumId w:val="2"/>
  </w:num>
  <w:num w:numId="6" w16cid:durableId="1831405328">
    <w:abstractNumId w:val="11"/>
  </w:num>
  <w:num w:numId="7" w16cid:durableId="2033650522">
    <w:abstractNumId w:val="5"/>
  </w:num>
  <w:num w:numId="8" w16cid:durableId="371344429">
    <w:abstractNumId w:val="14"/>
  </w:num>
  <w:num w:numId="9" w16cid:durableId="2083797541">
    <w:abstractNumId w:val="3"/>
  </w:num>
  <w:num w:numId="10" w16cid:durableId="1760250416">
    <w:abstractNumId w:val="22"/>
  </w:num>
  <w:num w:numId="11" w16cid:durableId="1475680210">
    <w:abstractNumId w:val="8"/>
  </w:num>
  <w:num w:numId="12" w16cid:durableId="2031953038">
    <w:abstractNumId w:val="24"/>
  </w:num>
  <w:num w:numId="13" w16cid:durableId="1067730073">
    <w:abstractNumId w:val="23"/>
  </w:num>
  <w:num w:numId="14" w16cid:durableId="1692805631">
    <w:abstractNumId w:val="7"/>
  </w:num>
  <w:num w:numId="15" w16cid:durableId="1922058540">
    <w:abstractNumId w:val="17"/>
  </w:num>
  <w:num w:numId="16" w16cid:durableId="521822873">
    <w:abstractNumId w:val="4"/>
  </w:num>
  <w:num w:numId="17" w16cid:durableId="720325005">
    <w:abstractNumId w:val="21"/>
  </w:num>
  <w:num w:numId="18" w16cid:durableId="1009792184">
    <w:abstractNumId w:val="19"/>
  </w:num>
  <w:num w:numId="19" w16cid:durableId="1797990376">
    <w:abstractNumId w:val="15"/>
  </w:num>
  <w:num w:numId="20" w16cid:durableId="538125666">
    <w:abstractNumId w:val="20"/>
  </w:num>
  <w:num w:numId="21" w16cid:durableId="1939631921">
    <w:abstractNumId w:val="18"/>
  </w:num>
  <w:num w:numId="22" w16cid:durableId="704715759">
    <w:abstractNumId w:val="6"/>
  </w:num>
  <w:num w:numId="23" w16cid:durableId="886138804">
    <w:abstractNumId w:val="1"/>
  </w:num>
  <w:num w:numId="24" w16cid:durableId="76750433">
    <w:abstractNumId w:val="10"/>
  </w:num>
  <w:num w:numId="25" w16cid:durableId="11222690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6C"/>
    <w:rsid w:val="00005557"/>
    <w:rsid w:val="00006FE0"/>
    <w:rsid w:val="000111CD"/>
    <w:rsid w:val="00012896"/>
    <w:rsid w:val="00012C3F"/>
    <w:rsid w:val="0001343B"/>
    <w:rsid w:val="00013803"/>
    <w:rsid w:val="00013EF9"/>
    <w:rsid w:val="00014737"/>
    <w:rsid w:val="00015246"/>
    <w:rsid w:val="000232F0"/>
    <w:rsid w:val="00024BEC"/>
    <w:rsid w:val="0003002E"/>
    <w:rsid w:val="000316FB"/>
    <w:rsid w:val="000319D2"/>
    <w:rsid w:val="00031F84"/>
    <w:rsid w:val="00034420"/>
    <w:rsid w:val="00034A73"/>
    <w:rsid w:val="00034DFE"/>
    <w:rsid w:val="00041C63"/>
    <w:rsid w:val="00045D9A"/>
    <w:rsid w:val="00053148"/>
    <w:rsid w:val="0006502D"/>
    <w:rsid w:val="00065D8A"/>
    <w:rsid w:val="00066526"/>
    <w:rsid w:val="0006786B"/>
    <w:rsid w:val="00070049"/>
    <w:rsid w:val="00071A87"/>
    <w:rsid w:val="000741E9"/>
    <w:rsid w:val="000758A7"/>
    <w:rsid w:val="0008789D"/>
    <w:rsid w:val="000907CB"/>
    <w:rsid w:val="00091D67"/>
    <w:rsid w:val="00092E9C"/>
    <w:rsid w:val="000965DE"/>
    <w:rsid w:val="000A084B"/>
    <w:rsid w:val="000A2634"/>
    <w:rsid w:val="000A3922"/>
    <w:rsid w:val="000B07E8"/>
    <w:rsid w:val="000B0E17"/>
    <w:rsid w:val="000B5542"/>
    <w:rsid w:val="000B59B9"/>
    <w:rsid w:val="000C0B71"/>
    <w:rsid w:val="000D289D"/>
    <w:rsid w:val="000D3D35"/>
    <w:rsid w:val="000D475E"/>
    <w:rsid w:val="000D4A42"/>
    <w:rsid w:val="000D521C"/>
    <w:rsid w:val="000E0973"/>
    <w:rsid w:val="000E18A7"/>
    <w:rsid w:val="000E1EB5"/>
    <w:rsid w:val="000E47D6"/>
    <w:rsid w:val="000E52CA"/>
    <w:rsid w:val="000F2AC9"/>
    <w:rsid w:val="000F2EB0"/>
    <w:rsid w:val="000F5594"/>
    <w:rsid w:val="000F6015"/>
    <w:rsid w:val="000F7C1C"/>
    <w:rsid w:val="001007CF"/>
    <w:rsid w:val="0010140C"/>
    <w:rsid w:val="00106482"/>
    <w:rsid w:val="00120190"/>
    <w:rsid w:val="00121552"/>
    <w:rsid w:val="001225BB"/>
    <w:rsid w:val="00126E5C"/>
    <w:rsid w:val="00130E7D"/>
    <w:rsid w:val="00134185"/>
    <w:rsid w:val="00140A51"/>
    <w:rsid w:val="00141429"/>
    <w:rsid w:val="00144C38"/>
    <w:rsid w:val="001455C4"/>
    <w:rsid w:val="00145CC8"/>
    <w:rsid w:val="00145F65"/>
    <w:rsid w:val="0014683E"/>
    <w:rsid w:val="00146D81"/>
    <w:rsid w:val="001475E4"/>
    <w:rsid w:val="00154C84"/>
    <w:rsid w:val="0015536B"/>
    <w:rsid w:val="00156287"/>
    <w:rsid w:val="0015642A"/>
    <w:rsid w:val="001625D9"/>
    <w:rsid w:val="00165648"/>
    <w:rsid w:val="00174F97"/>
    <w:rsid w:val="00176F9D"/>
    <w:rsid w:val="00181ED0"/>
    <w:rsid w:val="0018422F"/>
    <w:rsid w:val="001900E7"/>
    <w:rsid w:val="0019377E"/>
    <w:rsid w:val="001962B3"/>
    <w:rsid w:val="001A0453"/>
    <w:rsid w:val="001A329E"/>
    <w:rsid w:val="001A6948"/>
    <w:rsid w:val="001A6DFD"/>
    <w:rsid w:val="001B1D29"/>
    <w:rsid w:val="001B32DB"/>
    <w:rsid w:val="001B3D96"/>
    <w:rsid w:val="001B489C"/>
    <w:rsid w:val="001B780D"/>
    <w:rsid w:val="001C24F0"/>
    <w:rsid w:val="001C7FBF"/>
    <w:rsid w:val="001D3F73"/>
    <w:rsid w:val="001D5228"/>
    <w:rsid w:val="001D564A"/>
    <w:rsid w:val="001D6714"/>
    <w:rsid w:val="001D6F3C"/>
    <w:rsid w:val="001E2CEE"/>
    <w:rsid w:val="001E5E71"/>
    <w:rsid w:val="001E7698"/>
    <w:rsid w:val="001F228C"/>
    <w:rsid w:val="001F2633"/>
    <w:rsid w:val="001F3898"/>
    <w:rsid w:val="001F4189"/>
    <w:rsid w:val="00201A9E"/>
    <w:rsid w:val="00201BC7"/>
    <w:rsid w:val="002062B6"/>
    <w:rsid w:val="00210B49"/>
    <w:rsid w:val="00212051"/>
    <w:rsid w:val="002154C6"/>
    <w:rsid w:val="002161B5"/>
    <w:rsid w:val="002208B0"/>
    <w:rsid w:val="00221854"/>
    <w:rsid w:val="002236D3"/>
    <w:rsid w:val="00224D6E"/>
    <w:rsid w:val="002303AA"/>
    <w:rsid w:val="00230638"/>
    <w:rsid w:val="00233443"/>
    <w:rsid w:val="00234159"/>
    <w:rsid w:val="00234DE6"/>
    <w:rsid w:val="00235FDB"/>
    <w:rsid w:val="00240369"/>
    <w:rsid w:val="00241048"/>
    <w:rsid w:val="00241EBB"/>
    <w:rsid w:val="002530AA"/>
    <w:rsid w:val="002534F6"/>
    <w:rsid w:val="0025392F"/>
    <w:rsid w:val="00253A9E"/>
    <w:rsid w:val="002548A6"/>
    <w:rsid w:val="00254A7A"/>
    <w:rsid w:val="002562E8"/>
    <w:rsid w:val="002568A7"/>
    <w:rsid w:val="00257E3B"/>
    <w:rsid w:val="00260A72"/>
    <w:rsid w:val="00261581"/>
    <w:rsid w:val="00262070"/>
    <w:rsid w:val="002646C4"/>
    <w:rsid w:val="0026476C"/>
    <w:rsid w:val="00264EA6"/>
    <w:rsid w:val="00265385"/>
    <w:rsid w:val="002658B1"/>
    <w:rsid w:val="00266B05"/>
    <w:rsid w:val="002702D2"/>
    <w:rsid w:val="00272C93"/>
    <w:rsid w:val="00280E38"/>
    <w:rsid w:val="00281196"/>
    <w:rsid w:val="0028161C"/>
    <w:rsid w:val="00281672"/>
    <w:rsid w:val="00283B50"/>
    <w:rsid w:val="0028433B"/>
    <w:rsid w:val="0029016A"/>
    <w:rsid w:val="002916E0"/>
    <w:rsid w:val="00292B41"/>
    <w:rsid w:val="002951D2"/>
    <w:rsid w:val="002A1C36"/>
    <w:rsid w:val="002A5E96"/>
    <w:rsid w:val="002B17FE"/>
    <w:rsid w:val="002B5E9E"/>
    <w:rsid w:val="002B684B"/>
    <w:rsid w:val="002B6B33"/>
    <w:rsid w:val="002C1909"/>
    <w:rsid w:val="002C2305"/>
    <w:rsid w:val="002C3C49"/>
    <w:rsid w:val="002C47B0"/>
    <w:rsid w:val="002C5AF7"/>
    <w:rsid w:val="002C79BF"/>
    <w:rsid w:val="002D18E0"/>
    <w:rsid w:val="002D4A3B"/>
    <w:rsid w:val="002D6892"/>
    <w:rsid w:val="002D6B56"/>
    <w:rsid w:val="002E27C1"/>
    <w:rsid w:val="002E2B63"/>
    <w:rsid w:val="002E5E85"/>
    <w:rsid w:val="002F19E7"/>
    <w:rsid w:val="002F7249"/>
    <w:rsid w:val="002F7BEA"/>
    <w:rsid w:val="00301931"/>
    <w:rsid w:val="00311E34"/>
    <w:rsid w:val="00313DCF"/>
    <w:rsid w:val="003156A5"/>
    <w:rsid w:val="00315F98"/>
    <w:rsid w:val="00323F56"/>
    <w:rsid w:val="00330E23"/>
    <w:rsid w:val="003357F5"/>
    <w:rsid w:val="003359F6"/>
    <w:rsid w:val="00336822"/>
    <w:rsid w:val="00342CD3"/>
    <w:rsid w:val="00343468"/>
    <w:rsid w:val="00344719"/>
    <w:rsid w:val="003547FA"/>
    <w:rsid w:val="00354AFB"/>
    <w:rsid w:val="00360408"/>
    <w:rsid w:val="00360A50"/>
    <w:rsid w:val="00361758"/>
    <w:rsid w:val="00361A25"/>
    <w:rsid w:val="00361CC4"/>
    <w:rsid w:val="00361DBD"/>
    <w:rsid w:val="00363A55"/>
    <w:rsid w:val="0036444E"/>
    <w:rsid w:val="0036651C"/>
    <w:rsid w:val="003739E3"/>
    <w:rsid w:val="00375174"/>
    <w:rsid w:val="00381DB9"/>
    <w:rsid w:val="00383668"/>
    <w:rsid w:val="00385562"/>
    <w:rsid w:val="003863DC"/>
    <w:rsid w:val="00387DDB"/>
    <w:rsid w:val="003959E5"/>
    <w:rsid w:val="00397858"/>
    <w:rsid w:val="003A0ECB"/>
    <w:rsid w:val="003A1A94"/>
    <w:rsid w:val="003A26B7"/>
    <w:rsid w:val="003A2C86"/>
    <w:rsid w:val="003A3715"/>
    <w:rsid w:val="003A485F"/>
    <w:rsid w:val="003A4B59"/>
    <w:rsid w:val="003A636C"/>
    <w:rsid w:val="003B033A"/>
    <w:rsid w:val="003B15B9"/>
    <w:rsid w:val="003B26AF"/>
    <w:rsid w:val="003B7257"/>
    <w:rsid w:val="003C45DE"/>
    <w:rsid w:val="003C661B"/>
    <w:rsid w:val="003C77E5"/>
    <w:rsid w:val="003D4F06"/>
    <w:rsid w:val="003D7201"/>
    <w:rsid w:val="003D76D1"/>
    <w:rsid w:val="003D7C4B"/>
    <w:rsid w:val="003E2BE6"/>
    <w:rsid w:val="003F4D00"/>
    <w:rsid w:val="003F79F4"/>
    <w:rsid w:val="0040299B"/>
    <w:rsid w:val="00406849"/>
    <w:rsid w:val="00411012"/>
    <w:rsid w:val="00413EDA"/>
    <w:rsid w:val="00414236"/>
    <w:rsid w:val="00415A30"/>
    <w:rsid w:val="004173EF"/>
    <w:rsid w:val="00423D8E"/>
    <w:rsid w:val="00424518"/>
    <w:rsid w:val="004279A1"/>
    <w:rsid w:val="00427F03"/>
    <w:rsid w:val="0043362C"/>
    <w:rsid w:val="00433702"/>
    <w:rsid w:val="004349C6"/>
    <w:rsid w:val="004422F0"/>
    <w:rsid w:val="00446900"/>
    <w:rsid w:val="00452F95"/>
    <w:rsid w:val="00453750"/>
    <w:rsid w:val="00456462"/>
    <w:rsid w:val="0045687D"/>
    <w:rsid w:val="004649C3"/>
    <w:rsid w:val="00465801"/>
    <w:rsid w:val="004672A9"/>
    <w:rsid w:val="0047055D"/>
    <w:rsid w:val="0047294C"/>
    <w:rsid w:val="0047650D"/>
    <w:rsid w:val="00480A16"/>
    <w:rsid w:val="00480FC0"/>
    <w:rsid w:val="00487C2B"/>
    <w:rsid w:val="004901A0"/>
    <w:rsid w:val="00490EEF"/>
    <w:rsid w:val="00497C38"/>
    <w:rsid w:val="004A0940"/>
    <w:rsid w:val="004A4447"/>
    <w:rsid w:val="004A5ABD"/>
    <w:rsid w:val="004A729B"/>
    <w:rsid w:val="004B0A95"/>
    <w:rsid w:val="004B1FF0"/>
    <w:rsid w:val="004B4F80"/>
    <w:rsid w:val="004B6514"/>
    <w:rsid w:val="004B67CC"/>
    <w:rsid w:val="004B71CF"/>
    <w:rsid w:val="004C12BF"/>
    <w:rsid w:val="004C3668"/>
    <w:rsid w:val="004C3B1B"/>
    <w:rsid w:val="004D0202"/>
    <w:rsid w:val="004E1D2D"/>
    <w:rsid w:val="004E4A65"/>
    <w:rsid w:val="004F0018"/>
    <w:rsid w:val="004F0E62"/>
    <w:rsid w:val="004F14AE"/>
    <w:rsid w:val="004F3C00"/>
    <w:rsid w:val="005005C1"/>
    <w:rsid w:val="00501762"/>
    <w:rsid w:val="00505FCF"/>
    <w:rsid w:val="00506DFE"/>
    <w:rsid w:val="005139E8"/>
    <w:rsid w:val="00513F9E"/>
    <w:rsid w:val="005142C1"/>
    <w:rsid w:val="00514BD6"/>
    <w:rsid w:val="0052004C"/>
    <w:rsid w:val="005208F7"/>
    <w:rsid w:val="005215A1"/>
    <w:rsid w:val="00522010"/>
    <w:rsid w:val="00531A29"/>
    <w:rsid w:val="005349B4"/>
    <w:rsid w:val="0053556F"/>
    <w:rsid w:val="00536DE2"/>
    <w:rsid w:val="00540AF8"/>
    <w:rsid w:val="005413D4"/>
    <w:rsid w:val="00547C93"/>
    <w:rsid w:val="005506E3"/>
    <w:rsid w:val="00550A84"/>
    <w:rsid w:val="0055237A"/>
    <w:rsid w:val="00555060"/>
    <w:rsid w:val="00560CC4"/>
    <w:rsid w:val="005672AC"/>
    <w:rsid w:val="00567986"/>
    <w:rsid w:val="00572E79"/>
    <w:rsid w:val="00575774"/>
    <w:rsid w:val="005768C3"/>
    <w:rsid w:val="00582A56"/>
    <w:rsid w:val="005834C6"/>
    <w:rsid w:val="00583632"/>
    <w:rsid w:val="0058480A"/>
    <w:rsid w:val="00585AEC"/>
    <w:rsid w:val="00590F8D"/>
    <w:rsid w:val="0059303F"/>
    <w:rsid w:val="00594445"/>
    <w:rsid w:val="00594F81"/>
    <w:rsid w:val="00596865"/>
    <w:rsid w:val="00597B3C"/>
    <w:rsid w:val="005A05EF"/>
    <w:rsid w:val="005A12E6"/>
    <w:rsid w:val="005A44E2"/>
    <w:rsid w:val="005A617C"/>
    <w:rsid w:val="005B5777"/>
    <w:rsid w:val="005B587A"/>
    <w:rsid w:val="005B6C84"/>
    <w:rsid w:val="005C03F1"/>
    <w:rsid w:val="005C3870"/>
    <w:rsid w:val="005D042A"/>
    <w:rsid w:val="005D4060"/>
    <w:rsid w:val="005D4220"/>
    <w:rsid w:val="005D5A62"/>
    <w:rsid w:val="005E1867"/>
    <w:rsid w:val="005E39F2"/>
    <w:rsid w:val="005E5F26"/>
    <w:rsid w:val="005F0B50"/>
    <w:rsid w:val="005F31EB"/>
    <w:rsid w:val="005F3288"/>
    <w:rsid w:val="005F3BA3"/>
    <w:rsid w:val="005F47BB"/>
    <w:rsid w:val="005F5B23"/>
    <w:rsid w:val="005F7A27"/>
    <w:rsid w:val="00602124"/>
    <w:rsid w:val="006023BD"/>
    <w:rsid w:val="006037F2"/>
    <w:rsid w:val="006116BB"/>
    <w:rsid w:val="0061347F"/>
    <w:rsid w:val="006144B2"/>
    <w:rsid w:val="00625C30"/>
    <w:rsid w:val="0063136A"/>
    <w:rsid w:val="0063469E"/>
    <w:rsid w:val="00641A2B"/>
    <w:rsid w:val="0064474E"/>
    <w:rsid w:val="00646514"/>
    <w:rsid w:val="00646DB2"/>
    <w:rsid w:val="00650191"/>
    <w:rsid w:val="00650F19"/>
    <w:rsid w:val="00651F5D"/>
    <w:rsid w:val="006536A0"/>
    <w:rsid w:val="00655A2C"/>
    <w:rsid w:val="00655DA0"/>
    <w:rsid w:val="006567ED"/>
    <w:rsid w:val="00656E9B"/>
    <w:rsid w:val="00660425"/>
    <w:rsid w:val="00662D9B"/>
    <w:rsid w:val="006641EA"/>
    <w:rsid w:val="006668CB"/>
    <w:rsid w:val="00666E56"/>
    <w:rsid w:val="00670449"/>
    <w:rsid w:val="00671918"/>
    <w:rsid w:val="00672540"/>
    <w:rsid w:val="00672F6F"/>
    <w:rsid w:val="00673515"/>
    <w:rsid w:val="00677CD4"/>
    <w:rsid w:val="0068415C"/>
    <w:rsid w:val="00691AFA"/>
    <w:rsid w:val="006944F6"/>
    <w:rsid w:val="00696FEE"/>
    <w:rsid w:val="006A36F8"/>
    <w:rsid w:val="006A715E"/>
    <w:rsid w:val="006A7A6E"/>
    <w:rsid w:val="006B1BAF"/>
    <w:rsid w:val="006B3CD3"/>
    <w:rsid w:val="006B6C94"/>
    <w:rsid w:val="006C56B5"/>
    <w:rsid w:val="006C777F"/>
    <w:rsid w:val="006D0430"/>
    <w:rsid w:val="006D2636"/>
    <w:rsid w:val="006D28E5"/>
    <w:rsid w:val="006D4EA9"/>
    <w:rsid w:val="006D50B9"/>
    <w:rsid w:val="006D6ECE"/>
    <w:rsid w:val="006E0123"/>
    <w:rsid w:val="006E287C"/>
    <w:rsid w:val="006E2D2A"/>
    <w:rsid w:val="006E3477"/>
    <w:rsid w:val="006E3BC9"/>
    <w:rsid w:val="007005A8"/>
    <w:rsid w:val="00702086"/>
    <w:rsid w:val="007069C2"/>
    <w:rsid w:val="00713A95"/>
    <w:rsid w:val="00723B9D"/>
    <w:rsid w:val="007326E5"/>
    <w:rsid w:val="00733E72"/>
    <w:rsid w:val="00735141"/>
    <w:rsid w:val="00735B0B"/>
    <w:rsid w:val="00736AA5"/>
    <w:rsid w:val="00742CC9"/>
    <w:rsid w:val="007455D2"/>
    <w:rsid w:val="00753820"/>
    <w:rsid w:val="007556F3"/>
    <w:rsid w:val="0076012B"/>
    <w:rsid w:val="007608FC"/>
    <w:rsid w:val="00762D14"/>
    <w:rsid w:val="007636C2"/>
    <w:rsid w:val="00764389"/>
    <w:rsid w:val="00767A84"/>
    <w:rsid w:val="0077331B"/>
    <w:rsid w:val="00773DF6"/>
    <w:rsid w:val="00774E8F"/>
    <w:rsid w:val="00777231"/>
    <w:rsid w:val="007776DB"/>
    <w:rsid w:val="0078057F"/>
    <w:rsid w:val="00781446"/>
    <w:rsid w:val="0078372D"/>
    <w:rsid w:val="00787CF3"/>
    <w:rsid w:val="00790EB0"/>
    <w:rsid w:val="00791249"/>
    <w:rsid w:val="00792463"/>
    <w:rsid w:val="007968B3"/>
    <w:rsid w:val="00797A87"/>
    <w:rsid w:val="007A3917"/>
    <w:rsid w:val="007A689A"/>
    <w:rsid w:val="007B4B88"/>
    <w:rsid w:val="007B5527"/>
    <w:rsid w:val="007C35B5"/>
    <w:rsid w:val="007C43F0"/>
    <w:rsid w:val="007C4C9C"/>
    <w:rsid w:val="007C775D"/>
    <w:rsid w:val="007C7DE0"/>
    <w:rsid w:val="007C7FCE"/>
    <w:rsid w:val="007D1BDC"/>
    <w:rsid w:val="007D2409"/>
    <w:rsid w:val="007D51B3"/>
    <w:rsid w:val="007D5409"/>
    <w:rsid w:val="007D723F"/>
    <w:rsid w:val="007E4D8D"/>
    <w:rsid w:val="007E50EB"/>
    <w:rsid w:val="007F10F8"/>
    <w:rsid w:val="007F3EC4"/>
    <w:rsid w:val="007F5909"/>
    <w:rsid w:val="00802659"/>
    <w:rsid w:val="0080383C"/>
    <w:rsid w:val="008040C7"/>
    <w:rsid w:val="00806184"/>
    <w:rsid w:val="00807BBA"/>
    <w:rsid w:val="00812173"/>
    <w:rsid w:val="008155D6"/>
    <w:rsid w:val="0082080C"/>
    <w:rsid w:val="00821ABF"/>
    <w:rsid w:val="008239B2"/>
    <w:rsid w:val="008251D9"/>
    <w:rsid w:val="0082609B"/>
    <w:rsid w:val="00832857"/>
    <w:rsid w:val="00832F9B"/>
    <w:rsid w:val="00835772"/>
    <w:rsid w:val="0083731E"/>
    <w:rsid w:val="008407CB"/>
    <w:rsid w:val="0084395C"/>
    <w:rsid w:val="008524EF"/>
    <w:rsid w:val="008561F6"/>
    <w:rsid w:val="008567D2"/>
    <w:rsid w:val="008578ED"/>
    <w:rsid w:val="00862AEB"/>
    <w:rsid w:val="00865D44"/>
    <w:rsid w:val="00874DF4"/>
    <w:rsid w:val="00880739"/>
    <w:rsid w:val="00880BE8"/>
    <w:rsid w:val="008817F9"/>
    <w:rsid w:val="00881C2B"/>
    <w:rsid w:val="00883FCC"/>
    <w:rsid w:val="008851DA"/>
    <w:rsid w:val="008871F6"/>
    <w:rsid w:val="008872A6"/>
    <w:rsid w:val="00887E9B"/>
    <w:rsid w:val="0089131D"/>
    <w:rsid w:val="00892BFE"/>
    <w:rsid w:val="008946CA"/>
    <w:rsid w:val="0089493D"/>
    <w:rsid w:val="008949C9"/>
    <w:rsid w:val="008A4075"/>
    <w:rsid w:val="008A7194"/>
    <w:rsid w:val="008B4770"/>
    <w:rsid w:val="008C28D7"/>
    <w:rsid w:val="008C3BD9"/>
    <w:rsid w:val="008C4877"/>
    <w:rsid w:val="008C4CC5"/>
    <w:rsid w:val="008D23B2"/>
    <w:rsid w:val="008D3979"/>
    <w:rsid w:val="008D3C06"/>
    <w:rsid w:val="008D401C"/>
    <w:rsid w:val="008D7167"/>
    <w:rsid w:val="008E1FDD"/>
    <w:rsid w:val="008E35F7"/>
    <w:rsid w:val="008E5FE7"/>
    <w:rsid w:val="008E7825"/>
    <w:rsid w:val="008F0B58"/>
    <w:rsid w:val="008F18B3"/>
    <w:rsid w:val="008F2024"/>
    <w:rsid w:val="008F4116"/>
    <w:rsid w:val="00900987"/>
    <w:rsid w:val="00903E4A"/>
    <w:rsid w:val="00904163"/>
    <w:rsid w:val="009070F7"/>
    <w:rsid w:val="009074C9"/>
    <w:rsid w:val="0090799C"/>
    <w:rsid w:val="00910095"/>
    <w:rsid w:val="00913CBF"/>
    <w:rsid w:val="00915B48"/>
    <w:rsid w:val="009208E6"/>
    <w:rsid w:val="009218FC"/>
    <w:rsid w:val="00925850"/>
    <w:rsid w:val="00925EB7"/>
    <w:rsid w:val="00927EB7"/>
    <w:rsid w:val="009319D6"/>
    <w:rsid w:val="009344EE"/>
    <w:rsid w:val="00935037"/>
    <w:rsid w:val="0093521F"/>
    <w:rsid w:val="0094122B"/>
    <w:rsid w:val="00946B68"/>
    <w:rsid w:val="00947B65"/>
    <w:rsid w:val="00952B39"/>
    <w:rsid w:val="00954C34"/>
    <w:rsid w:val="009617BA"/>
    <w:rsid w:val="0096288B"/>
    <w:rsid w:val="0096506C"/>
    <w:rsid w:val="0096778A"/>
    <w:rsid w:val="009716A6"/>
    <w:rsid w:val="00971EB5"/>
    <w:rsid w:val="00972C04"/>
    <w:rsid w:val="0097336F"/>
    <w:rsid w:val="00976BC6"/>
    <w:rsid w:val="0098215C"/>
    <w:rsid w:val="009824EA"/>
    <w:rsid w:val="009841C1"/>
    <w:rsid w:val="009851DC"/>
    <w:rsid w:val="00985240"/>
    <w:rsid w:val="00990941"/>
    <w:rsid w:val="00990A52"/>
    <w:rsid w:val="009913FA"/>
    <w:rsid w:val="009931C5"/>
    <w:rsid w:val="009931F8"/>
    <w:rsid w:val="00994FB8"/>
    <w:rsid w:val="009A41AC"/>
    <w:rsid w:val="009A7355"/>
    <w:rsid w:val="009A7706"/>
    <w:rsid w:val="009B11E4"/>
    <w:rsid w:val="009B2C7F"/>
    <w:rsid w:val="009B76DE"/>
    <w:rsid w:val="009C0065"/>
    <w:rsid w:val="009C0E8D"/>
    <w:rsid w:val="009C3AC7"/>
    <w:rsid w:val="009D4FED"/>
    <w:rsid w:val="009E054A"/>
    <w:rsid w:val="009E23F8"/>
    <w:rsid w:val="009E5DF0"/>
    <w:rsid w:val="009E7DD4"/>
    <w:rsid w:val="009F5730"/>
    <w:rsid w:val="009F5F5C"/>
    <w:rsid w:val="00A00399"/>
    <w:rsid w:val="00A00468"/>
    <w:rsid w:val="00A0315F"/>
    <w:rsid w:val="00A0757F"/>
    <w:rsid w:val="00A07F9A"/>
    <w:rsid w:val="00A113BE"/>
    <w:rsid w:val="00A12380"/>
    <w:rsid w:val="00A1456A"/>
    <w:rsid w:val="00A15DEE"/>
    <w:rsid w:val="00A15EBC"/>
    <w:rsid w:val="00A16DC8"/>
    <w:rsid w:val="00A23284"/>
    <w:rsid w:val="00A30D9A"/>
    <w:rsid w:val="00A31C93"/>
    <w:rsid w:val="00A31F27"/>
    <w:rsid w:val="00A33763"/>
    <w:rsid w:val="00A33BF9"/>
    <w:rsid w:val="00A345BE"/>
    <w:rsid w:val="00A37A46"/>
    <w:rsid w:val="00A403B8"/>
    <w:rsid w:val="00A42591"/>
    <w:rsid w:val="00A42CBD"/>
    <w:rsid w:val="00A44C7A"/>
    <w:rsid w:val="00A4592B"/>
    <w:rsid w:val="00A53F6E"/>
    <w:rsid w:val="00A542AD"/>
    <w:rsid w:val="00A54BE6"/>
    <w:rsid w:val="00A60E37"/>
    <w:rsid w:val="00A60F3A"/>
    <w:rsid w:val="00A85FDD"/>
    <w:rsid w:val="00A87A23"/>
    <w:rsid w:val="00A92849"/>
    <w:rsid w:val="00A93518"/>
    <w:rsid w:val="00A9755B"/>
    <w:rsid w:val="00A97E70"/>
    <w:rsid w:val="00AA18FD"/>
    <w:rsid w:val="00AA3323"/>
    <w:rsid w:val="00AA450E"/>
    <w:rsid w:val="00AB017E"/>
    <w:rsid w:val="00AB4AE1"/>
    <w:rsid w:val="00AC2CF1"/>
    <w:rsid w:val="00AC4225"/>
    <w:rsid w:val="00AC603C"/>
    <w:rsid w:val="00AD089E"/>
    <w:rsid w:val="00AD0A06"/>
    <w:rsid w:val="00AD35DD"/>
    <w:rsid w:val="00AD36B5"/>
    <w:rsid w:val="00AE5ABD"/>
    <w:rsid w:val="00AE6F03"/>
    <w:rsid w:val="00AF23D4"/>
    <w:rsid w:val="00AF2A45"/>
    <w:rsid w:val="00AF4890"/>
    <w:rsid w:val="00AF5270"/>
    <w:rsid w:val="00B005D8"/>
    <w:rsid w:val="00B041BD"/>
    <w:rsid w:val="00B12373"/>
    <w:rsid w:val="00B13A9E"/>
    <w:rsid w:val="00B145DE"/>
    <w:rsid w:val="00B1635C"/>
    <w:rsid w:val="00B16A91"/>
    <w:rsid w:val="00B211B3"/>
    <w:rsid w:val="00B231CA"/>
    <w:rsid w:val="00B235A9"/>
    <w:rsid w:val="00B24C0A"/>
    <w:rsid w:val="00B34458"/>
    <w:rsid w:val="00B35D9F"/>
    <w:rsid w:val="00B40777"/>
    <w:rsid w:val="00B456A1"/>
    <w:rsid w:val="00B47B89"/>
    <w:rsid w:val="00B511B8"/>
    <w:rsid w:val="00B525D6"/>
    <w:rsid w:val="00B55AFA"/>
    <w:rsid w:val="00B56390"/>
    <w:rsid w:val="00B628E3"/>
    <w:rsid w:val="00B65E2D"/>
    <w:rsid w:val="00B6718A"/>
    <w:rsid w:val="00B73624"/>
    <w:rsid w:val="00B74A79"/>
    <w:rsid w:val="00B765A8"/>
    <w:rsid w:val="00B7684F"/>
    <w:rsid w:val="00B7701F"/>
    <w:rsid w:val="00B80842"/>
    <w:rsid w:val="00B8565B"/>
    <w:rsid w:val="00B856AC"/>
    <w:rsid w:val="00B86728"/>
    <w:rsid w:val="00B93B9C"/>
    <w:rsid w:val="00B96C4E"/>
    <w:rsid w:val="00B9789B"/>
    <w:rsid w:val="00BA1292"/>
    <w:rsid w:val="00BA1CEF"/>
    <w:rsid w:val="00BA5A29"/>
    <w:rsid w:val="00BB3A3C"/>
    <w:rsid w:val="00BB48AD"/>
    <w:rsid w:val="00BC0275"/>
    <w:rsid w:val="00BC1A6F"/>
    <w:rsid w:val="00BE259F"/>
    <w:rsid w:val="00BE2862"/>
    <w:rsid w:val="00C05D35"/>
    <w:rsid w:val="00C05D73"/>
    <w:rsid w:val="00C07B77"/>
    <w:rsid w:val="00C10479"/>
    <w:rsid w:val="00C1119F"/>
    <w:rsid w:val="00C140A9"/>
    <w:rsid w:val="00C14AAA"/>
    <w:rsid w:val="00C21110"/>
    <w:rsid w:val="00C301A6"/>
    <w:rsid w:val="00C31CFE"/>
    <w:rsid w:val="00C3229A"/>
    <w:rsid w:val="00C333F9"/>
    <w:rsid w:val="00C3469F"/>
    <w:rsid w:val="00C36A28"/>
    <w:rsid w:val="00C41538"/>
    <w:rsid w:val="00C41962"/>
    <w:rsid w:val="00C44BCA"/>
    <w:rsid w:val="00C54BAF"/>
    <w:rsid w:val="00C56718"/>
    <w:rsid w:val="00C5674B"/>
    <w:rsid w:val="00C56A15"/>
    <w:rsid w:val="00C60AB7"/>
    <w:rsid w:val="00C60B7B"/>
    <w:rsid w:val="00C70268"/>
    <w:rsid w:val="00C72A20"/>
    <w:rsid w:val="00C745D4"/>
    <w:rsid w:val="00C758BF"/>
    <w:rsid w:val="00C76C8E"/>
    <w:rsid w:val="00C7797D"/>
    <w:rsid w:val="00C80F1C"/>
    <w:rsid w:val="00C85304"/>
    <w:rsid w:val="00C870AC"/>
    <w:rsid w:val="00C87C28"/>
    <w:rsid w:val="00C949E8"/>
    <w:rsid w:val="00C976F0"/>
    <w:rsid w:val="00CA191F"/>
    <w:rsid w:val="00CA21E0"/>
    <w:rsid w:val="00CA276F"/>
    <w:rsid w:val="00CA38B4"/>
    <w:rsid w:val="00CA3ECC"/>
    <w:rsid w:val="00CA63FF"/>
    <w:rsid w:val="00CB141D"/>
    <w:rsid w:val="00CB16B6"/>
    <w:rsid w:val="00CB37DF"/>
    <w:rsid w:val="00CB4F90"/>
    <w:rsid w:val="00CB609D"/>
    <w:rsid w:val="00CC1BF1"/>
    <w:rsid w:val="00CC1DE5"/>
    <w:rsid w:val="00CC518E"/>
    <w:rsid w:val="00CC58B4"/>
    <w:rsid w:val="00CC602A"/>
    <w:rsid w:val="00CC62A9"/>
    <w:rsid w:val="00CC6587"/>
    <w:rsid w:val="00CD0F4E"/>
    <w:rsid w:val="00CD1F9F"/>
    <w:rsid w:val="00CE572E"/>
    <w:rsid w:val="00CF24A2"/>
    <w:rsid w:val="00CF3205"/>
    <w:rsid w:val="00CF38B8"/>
    <w:rsid w:val="00CF3D55"/>
    <w:rsid w:val="00CF48F6"/>
    <w:rsid w:val="00D00127"/>
    <w:rsid w:val="00D007BE"/>
    <w:rsid w:val="00D02220"/>
    <w:rsid w:val="00D0276E"/>
    <w:rsid w:val="00D04AA9"/>
    <w:rsid w:val="00D113C6"/>
    <w:rsid w:val="00D13733"/>
    <w:rsid w:val="00D15B8E"/>
    <w:rsid w:val="00D167E0"/>
    <w:rsid w:val="00D1752D"/>
    <w:rsid w:val="00D201FE"/>
    <w:rsid w:val="00D238E0"/>
    <w:rsid w:val="00D27B77"/>
    <w:rsid w:val="00D3037A"/>
    <w:rsid w:val="00D306D0"/>
    <w:rsid w:val="00D31E1A"/>
    <w:rsid w:val="00D3223B"/>
    <w:rsid w:val="00D32DF4"/>
    <w:rsid w:val="00D42491"/>
    <w:rsid w:val="00D42C31"/>
    <w:rsid w:val="00D47004"/>
    <w:rsid w:val="00D47484"/>
    <w:rsid w:val="00D4774D"/>
    <w:rsid w:val="00D5133F"/>
    <w:rsid w:val="00D515D4"/>
    <w:rsid w:val="00D51CDB"/>
    <w:rsid w:val="00D547D5"/>
    <w:rsid w:val="00D56538"/>
    <w:rsid w:val="00D5682A"/>
    <w:rsid w:val="00D63986"/>
    <w:rsid w:val="00D67D0E"/>
    <w:rsid w:val="00D77B45"/>
    <w:rsid w:val="00D80618"/>
    <w:rsid w:val="00D8254E"/>
    <w:rsid w:val="00D83494"/>
    <w:rsid w:val="00D84A9B"/>
    <w:rsid w:val="00D96126"/>
    <w:rsid w:val="00DA02C4"/>
    <w:rsid w:val="00DA3EBF"/>
    <w:rsid w:val="00DA4673"/>
    <w:rsid w:val="00DA5CAF"/>
    <w:rsid w:val="00DB349D"/>
    <w:rsid w:val="00DB3B26"/>
    <w:rsid w:val="00DB667F"/>
    <w:rsid w:val="00DB6B4A"/>
    <w:rsid w:val="00DC0903"/>
    <w:rsid w:val="00DC1029"/>
    <w:rsid w:val="00DC2A95"/>
    <w:rsid w:val="00DC5770"/>
    <w:rsid w:val="00DD09A5"/>
    <w:rsid w:val="00DD246C"/>
    <w:rsid w:val="00DD7DCB"/>
    <w:rsid w:val="00DE4C8D"/>
    <w:rsid w:val="00DF3574"/>
    <w:rsid w:val="00DF5E66"/>
    <w:rsid w:val="00E00A7C"/>
    <w:rsid w:val="00E0119F"/>
    <w:rsid w:val="00E01694"/>
    <w:rsid w:val="00E029E9"/>
    <w:rsid w:val="00E047EF"/>
    <w:rsid w:val="00E05F57"/>
    <w:rsid w:val="00E07D5F"/>
    <w:rsid w:val="00E108D0"/>
    <w:rsid w:val="00E1748D"/>
    <w:rsid w:val="00E17D71"/>
    <w:rsid w:val="00E217FC"/>
    <w:rsid w:val="00E22339"/>
    <w:rsid w:val="00E22536"/>
    <w:rsid w:val="00E251F5"/>
    <w:rsid w:val="00E3024E"/>
    <w:rsid w:val="00E32AF4"/>
    <w:rsid w:val="00E40E22"/>
    <w:rsid w:val="00E420ED"/>
    <w:rsid w:val="00E436D1"/>
    <w:rsid w:val="00E45525"/>
    <w:rsid w:val="00E455F5"/>
    <w:rsid w:val="00E46308"/>
    <w:rsid w:val="00E50194"/>
    <w:rsid w:val="00E56EC0"/>
    <w:rsid w:val="00E61C7D"/>
    <w:rsid w:val="00E73A37"/>
    <w:rsid w:val="00E754DA"/>
    <w:rsid w:val="00E75F8C"/>
    <w:rsid w:val="00E82FA3"/>
    <w:rsid w:val="00E84BE1"/>
    <w:rsid w:val="00E854C9"/>
    <w:rsid w:val="00E87F44"/>
    <w:rsid w:val="00E91CBD"/>
    <w:rsid w:val="00EA39A4"/>
    <w:rsid w:val="00EA41A0"/>
    <w:rsid w:val="00EA498C"/>
    <w:rsid w:val="00EA4E99"/>
    <w:rsid w:val="00EA528F"/>
    <w:rsid w:val="00EA798F"/>
    <w:rsid w:val="00EB310F"/>
    <w:rsid w:val="00EB7848"/>
    <w:rsid w:val="00EC3796"/>
    <w:rsid w:val="00ED0FA3"/>
    <w:rsid w:val="00ED1D9F"/>
    <w:rsid w:val="00ED1E11"/>
    <w:rsid w:val="00ED3BF6"/>
    <w:rsid w:val="00ED4032"/>
    <w:rsid w:val="00EE129D"/>
    <w:rsid w:val="00EE2CFF"/>
    <w:rsid w:val="00EE383D"/>
    <w:rsid w:val="00EF0B15"/>
    <w:rsid w:val="00EF1045"/>
    <w:rsid w:val="00EF5398"/>
    <w:rsid w:val="00EF5F47"/>
    <w:rsid w:val="00EF64C5"/>
    <w:rsid w:val="00EF6CD7"/>
    <w:rsid w:val="00F01A83"/>
    <w:rsid w:val="00F06AF0"/>
    <w:rsid w:val="00F0786E"/>
    <w:rsid w:val="00F10543"/>
    <w:rsid w:val="00F142AE"/>
    <w:rsid w:val="00F20761"/>
    <w:rsid w:val="00F23024"/>
    <w:rsid w:val="00F2703B"/>
    <w:rsid w:val="00F30823"/>
    <w:rsid w:val="00F320A2"/>
    <w:rsid w:val="00F374AC"/>
    <w:rsid w:val="00F37701"/>
    <w:rsid w:val="00F41176"/>
    <w:rsid w:val="00F47735"/>
    <w:rsid w:val="00F50203"/>
    <w:rsid w:val="00F64CF1"/>
    <w:rsid w:val="00F65FF5"/>
    <w:rsid w:val="00F66364"/>
    <w:rsid w:val="00F664AE"/>
    <w:rsid w:val="00F734F0"/>
    <w:rsid w:val="00F74536"/>
    <w:rsid w:val="00F8109D"/>
    <w:rsid w:val="00F81740"/>
    <w:rsid w:val="00F83E88"/>
    <w:rsid w:val="00F8447A"/>
    <w:rsid w:val="00F84C7C"/>
    <w:rsid w:val="00F85295"/>
    <w:rsid w:val="00F8588D"/>
    <w:rsid w:val="00F86587"/>
    <w:rsid w:val="00F86892"/>
    <w:rsid w:val="00F926D5"/>
    <w:rsid w:val="00F9505F"/>
    <w:rsid w:val="00F96910"/>
    <w:rsid w:val="00F96F7B"/>
    <w:rsid w:val="00FA33B0"/>
    <w:rsid w:val="00FB45A6"/>
    <w:rsid w:val="00FB5E28"/>
    <w:rsid w:val="00FB6D90"/>
    <w:rsid w:val="00FB7FCD"/>
    <w:rsid w:val="00FC05BE"/>
    <w:rsid w:val="00FC4BE3"/>
    <w:rsid w:val="00FC644A"/>
    <w:rsid w:val="00FC6D7F"/>
    <w:rsid w:val="00FD07E9"/>
    <w:rsid w:val="00FD0C36"/>
    <w:rsid w:val="00FD171C"/>
    <w:rsid w:val="00FD17A6"/>
    <w:rsid w:val="00FD2206"/>
    <w:rsid w:val="00FD3A39"/>
    <w:rsid w:val="00FD5539"/>
    <w:rsid w:val="00FD5F40"/>
    <w:rsid w:val="00FD770F"/>
    <w:rsid w:val="00FE1E6E"/>
    <w:rsid w:val="00FE3FA7"/>
    <w:rsid w:val="00FF4383"/>
    <w:rsid w:val="00FF4975"/>
    <w:rsid w:val="00FF4C84"/>
    <w:rsid w:val="00FF5B7E"/>
    <w:rsid w:val="00FF6DB1"/>
    <w:rsid w:val="00FF75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71CE1"/>
  <w15:docId w15:val="{A36330B5-BDA9-462E-BF42-15C0809F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506C"/>
    <w:rPr>
      <w:sz w:val="24"/>
      <w:szCs w:val="24"/>
      <w:lang w:eastAsia="en-US"/>
    </w:rPr>
  </w:style>
  <w:style w:type="paragraph" w:styleId="Antrat1">
    <w:name w:val="heading 1"/>
    <w:basedOn w:val="prastasis"/>
    <w:next w:val="prastasis"/>
    <w:qFormat/>
    <w:rsid w:val="0096506C"/>
    <w:pPr>
      <w:keepNext/>
      <w:numPr>
        <w:numId w:val="1"/>
      </w:numPr>
      <w:suppressAutoHyphens/>
      <w:jc w:val="center"/>
      <w:outlineLvl w:val="0"/>
    </w:pPr>
    <w:rPr>
      <w:b/>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96506C"/>
    <w:pPr>
      <w:suppressAutoHyphens/>
      <w:jc w:val="both"/>
    </w:pPr>
    <w:rPr>
      <w:szCs w:val="20"/>
      <w:lang w:eastAsia="ar-SA"/>
    </w:rPr>
  </w:style>
  <w:style w:type="paragraph" w:styleId="Antrats">
    <w:name w:val="header"/>
    <w:basedOn w:val="prastasis"/>
    <w:link w:val="AntratsDiagrama"/>
    <w:uiPriority w:val="99"/>
    <w:rsid w:val="00910095"/>
    <w:pPr>
      <w:tabs>
        <w:tab w:val="center" w:pos="4819"/>
        <w:tab w:val="right" w:pos="9638"/>
      </w:tabs>
    </w:pPr>
  </w:style>
  <w:style w:type="character" w:customStyle="1" w:styleId="AntratsDiagrama">
    <w:name w:val="Antraštės Diagrama"/>
    <w:link w:val="Antrats"/>
    <w:uiPriority w:val="99"/>
    <w:rsid w:val="00910095"/>
    <w:rPr>
      <w:sz w:val="24"/>
      <w:szCs w:val="24"/>
      <w:lang w:eastAsia="en-US"/>
    </w:rPr>
  </w:style>
  <w:style w:type="paragraph" w:styleId="Porat">
    <w:name w:val="footer"/>
    <w:basedOn w:val="prastasis"/>
    <w:link w:val="PoratDiagrama"/>
    <w:uiPriority w:val="99"/>
    <w:rsid w:val="00910095"/>
    <w:pPr>
      <w:tabs>
        <w:tab w:val="center" w:pos="4819"/>
        <w:tab w:val="right" w:pos="9638"/>
      </w:tabs>
    </w:pPr>
  </w:style>
  <w:style w:type="character" w:customStyle="1" w:styleId="PoratDiagrama">
    <w:name w:val="Poraštė Diagrama"/>
    <w:link w:val="Porat"/>
    <w:uiPriority w:val="99"/>
    <w:rsid w:val="00910095"/>
    <w:rPr>
      <w:sz w:val="24"/>
      <w:szCs w:val="24"/>
      <w:lang w:eastAsia="en-US"/>
    </w:rPr>
  </w:style>
  <w:style w:type="paragraph" w:styleId="Debesliotekstas">
    <w:name w:val="Balloon Text"/>
    <w:basedOn w:val="prastasis"/>
    <w:link w:val="DebesliotekstasDiagrama"/>
    <w:rsid w:val="00D515D4"/>
    <w:rPr>
      <w:rFonts w:ascii="Tahoma" w:hAnsi="Tahoma" w:cs="Tahoma"/>
      <w:sz w:val="16"/>
      <w:szCs w:val="16"/>
    </w:rPr>
  </w:style>
  <w:style w:type="character" w:customStyle="1" w:styleId="DebesliotekstasDiagrama">
    <w:name w:val="Debesėlio tekstas Diagrama"/>
    <w:link w:val="Debesliotekstas"/>
    <w:rsid w:val="00D515D4"/>
    <w:rPr>
      <w:rFonts w:ascii="Tahoma" w:hAnsi="Tahoma" w:cs="Tahoma"/>
      <w:sz w:val="16"/>
      <w:szCs w:val="16"/>
      <w:lang w:eastAsia="en-US"/>
    </w:rPr>
  </w:style>
  <w:style w:type="paragraph" w:styleId="Paantrat">
    <w:name w:val="Subtitle"/>
    <w:basedOn w:val="prastasis"/>
    <w:next w:val="prastasis"/>
    <w:link w:val="PaantratDiagrama"/>
    <w:qFormat/>
    <w:rsid w:val="00971EB5"/>
    <w:pPr>
      <w:spacing w:after="60"/>
      <w:jc w:val="center"/>
      <w:outlineLvl w:val="1"/>
    </w:pPr>
    <w:rPr>
      <w:rFonts w:ascii="Cambria" w:hAnsi="Cambria"/>
    </w:rPr>
  </w:style>
  <w:style w:type="character" w:customStyle="1" w:styleId="PaantratDiagrama">
    <w:name w:val="Paantraštė Diagrama"/>
    <w:link w:val="Paantrat"/>
    <w:rsid w:val="00971EB5"/>
    <w:rPr>
      <w:rFonts w:ascii="Cambria" w:eastAsia="Times New Roman" w:hAnsi="Cambria" w:cs="Times New Roman"/>
      <w:sz w:val="24"/>
      <w:szCs w:val="24"/>
      <w:lang w:eastAsia="en-US"/>
    </w:rPr>
  </w:style>
  <w:style w:type="paragraph" w:styleId="Sraopastraipa">
    <w:name w:val="List Paragraph"/>
    <w:basedOn w:val="prastasis"/>
    <w:uiPriority w:val="34"/>
    <w:qFormat/>
    <w:rsid w:val="006A7A6E"/>
    <w:pPr>
      <w:ind w:left="720"/>
      <w:contextualSpacing/>
    </w:pPr>
  </w:style>
  <w:style w:type="paragraph" w:styleId="Puslapioinaostekstas">
    <w:name w:val="footnote text"/>
    <w:basedOn w:val="prastasis"/>
    <w:link w:val="PuslapioinaostekstasDiagrama"/>
    <w:uiPriority w:val="99"/>
    <w:semiHidden/>
    <w:unhideWhenUsed/>
    <w:rsid w:val="001B489C"/>
    <w:rPr>
      <w:rFonts w:asciiTheme="minorHAnsi" w:eastAsiaTheme="minorEastAsia" w:hAnsiTheme="minorHAnsi" w:cstheme="minorBidi"/>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1B489C"/>
    <w:rPr>
      <w:rFonts w:asciiTheme="minorHAnsi" w:eastAsiaTheme="minorEastAsia" w:hAnsiTheme="minorHAnsi" w:cstheme="minorBidi"/>
    </w:rPr>
  </w:style>
  <w:style w:type="character" w:styleId="Puslapioinaosnuoroda">
    <w:name w:val="footnote reference"/>
    <w:basedOn w:val="Numatytasispastraiposriftas"/>
    <w:uiPriority w:val="99"/>
    <w:semiHidden/>
    <w:unhideWhenUsed/>
    <w:rsid w:val="001B489C"/>
    <w:rPr>
      <w:vertAlign w:val="superscript"/>
    </w:rPr>
  </w:style>
  <w:style w:type="table" w:styleId="Lentelstinklelis">
    <w:name w:val="Table Grid"/>
    <w:basedOn w:val="prastojilentel"/>
    <w:uiPriority w:val="39"/>
    <w:rsid w:val="001B48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CA21E0"/>
    <w:rPr>
      <w:sz w:val="16"/>
      <w:szCs w:val="16"/>
    </w:rPr>
  </w:style>
  <w:style w:type="paragraph" w:styleId="Komentarotekstas">
    <w:name w:val="annotation text"/>
    <w:basedOn w:val="prastasis"/>
    <w:link w:val="KomentarotekstasDiagrama"/>
    <w:semiHidden/>
    <w:unhideWhenUsed/>
    <w:rsid w:val="00CA21E0"/>
    <w:rPr>
      <w:sz w:val="20"/>
      <w:szCs w:val="20"/>
    </w:rPr>
  </w:style>
  <w:style w:type="character" w:customStyle="1" w:styleId="KomentarotekstasDiagrama">
    <w:name w:val="Komentaro tekstas Diagrama"/>
    <w:basedOn w:val="Numatytasispastraiposriftas"/>
    <w:link w:val="Komentarotekstas"/>
    <w:semiHidden/>
    <w:rsid w:val="00CA21E0"/>
    <w:rPr>
      <w:lang w:eastAsia="en-US"/>
    </w:rPr>
  </w:style>
  <w:style w:type="paragraph" w:styleId="Komentarotema">
    <w:name w:val="annotation subject"/>
    <w:basedOn w:val="Komentarotekstas"/>
    <w:next w:val="Komentarotekstas"/>
    <w:link w:val="KomentarotemaDiagrama"/>
    <w:semiHidden/>
    <w:unhideWhenUsed/>
    <w:rsid w:val="00CA21E0"/>
    <w:rPr>
      <w:b/>
      <w:bCs/>
    </w:rPr>
  </w:style>
  <w:style w:type="character" w:customStyle="1" w:styleId="KomentarotemaDiagrama">
    <w:name w:val="Komentaro tema Diagrama"/>
    <w:basedOn w:val="KomentarotekstasDiagrama"/>
    <w:link w:val="Komentarotema"/>
    <w:semiHidden/>
    <w:rsid w:val="00CA21E0"/>
    <w:rPr>
      <w:b/>
      <w:bCs/>
      <w:lang w:eastAsia="en-US"/>
    </w:rPr>
  </w:style>
  <w:style w:type="character" w:styleId="Hipersaitas">
    <w:name w:val="Hyperlink"/>
    <w:basedOn w:val="Numatytasispastraiposriftas"/>
    <w:uiPriority w:val="99"/>
    <w:unhideWhenUsed/>
    <w:rsid w:val="00EE129D"/>
    <w:rPr>
      <w:color w:val="0563C1" w:themeColor="hyperlink"/>
      <w:u w:val="single"/>
    </w:rPr>
  </w:style>
  <w:style w:type="character" w:styleId="Perirtashipersaitas">
    <w:name w:val="FollowedHyperlink"/>
    <w:basedOn w:val="Numatytasispastraiposriftas"/>
    <w:semiHidden/>
    <w:unhideWhenUsed/>
    <w:rsid w:val="00DA02C4"/>
    <w:rPr>
      <w:color w:val="954F72" w:themeColor="followedHyperlink"/>
      <w:u w:val="single"/>
    </w:rPr>
  </w:style>
  <w:style w:type="paragraph" w:customStyle="1" w:styleId="tactin">
    <w:name w:val="tactin"/>
    <w:basedOn w:val="prastasis"/>
    <w:rsid w:val="00B231CA"/>
    <w:pPr>
      <w:spacing w:before="100" w:beforeAutospacing="1" w:after="100" w:afterAutospacing="1"/>
    </w:pPr>
    <w:rPr>
      <w:lang w:eastAsia="lt-LT"/>
    </w:rPr>
  </w:style>
  <w:style w:type="paragraph" w:customStyle="1" w:styleId="tajtin">
    <w:name w:val="tajtin"/>
    <w:basedOn w:val="prastasis"/>
    <w:rsid w:val="00B231CA"/>
    <w:pPr>
      <w:spacing w:before="100" w:beforeAutospacing="1" w:after="100" w:afterAutospacing="1"/>
    </w:pPr>
    <w:rPr>
      <w:lang w:eastAsia="lt-LT"/>
    </w:rPr>
  </w:style>
  <w:style w:type="paragraph" w:customStyle="1" w:styleId="tin">
    <w:name w:val="tin"/>
    <w:basedOn w:val="prastasis"/>
    <w:rsid w:val="00B231CA"/>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44047">
      <w:bodyDiv w:val="1"/>
      <w:marLeft w:val="0"/>
      <w:marRight w:val="0"/>
      <w:marTop w:val="0"/>
      <w:marBottom w:val="0"/>
      <w:divBdr>
        <w:top w:val="none" w:sz="0" w:space="0" w:color="auto"/>
        <w:left w:val="none" w:sz="0" w:space="0" w:color="auto"/>
        <w:bottom w:val="none" w:sz="0" w:space="0" w:color="auto"/>
        <w:right w:val="none" w:sz="0" w:space="0" w:color="auto"/>
      </w:divBdr>
    </w:div>
    <w:div w:id="670066330">
      <w:bodyDiv w:val="1"/>
      <w:marLeft w:val="0"/>
      <w:marRight w:val="0"/>
      <w:marTop w:val="0"/>
      <w:marBottom w:val="0"/>
      <w:divBdr>
        <w:top w:val="none" w:sz="0" w:space="0" w:color="auto"/>
        <w:left w:val="none" w:sz="0" w:space="0" w:color="auto"/>
        <w:bottom w:val="none" w:sz="0" w:space="0" w:color="auto"/>
        <w:right w:val="none" w:sz="0" w:space="0" w:color="auto"/>
      </w:divBdr>
    </w:div>
    <w:div w:id="739447431">
      <w:bodyDiv w:val="1"/>
      <w:marLeft w:val="0"/>
      <w:marRight w:val="0"/>
      <w:marTop w:val="0"/>
      <w:marBottom w:val="0"/>
      <w:divBdr>
        <w:top w:val="none" w:sz="0" w:space="0" w:color="auto"/>
        <w:left w:val="none" w:sz="0" w:space="0" w:color="auto"/>
        <w:bottom w:val="none" w:sz="0" w:space="0" w:color="auto"/>
        <w:right w:val="none" w:sz="0" w:space="0" w:color="auto"/>
      </w:divBdr>
    </w:div>
    <w:div w:id="816997175">
      <w:bodyDiv w:val="1"/>
      <w:marLeft w:val="0"/>
      <w:marRight w:val="0"/>
      <w:marTop w:val="0"/>
      <w:marBottom w:val="0"/>
      <w:divBdr>
        <w:top w:val="none" w:sz="0" w:space="0" w:color="auto"/>
        <w:left w:val="none" w:sz="0" w:space="0" w:color="auto"/>
        <w:bottom w:val="none" w:sz="0" w:space="0" w:color="auto"/>
        <w:right w:val="none" w:sz="0" w:space="0" w:color="auto"/>
      </w:divBdr>
    </w:div>
    <w:div w:id="824785782">
      <w:bodyDiv w:val="1"/>
      <w:marLeft w:val="0"/>
      <w:marRight w:val="0"/>
      <w:marTop w:val="0"/>
      <w:marBottom w:val="0"/>
      <w:divBdr>
        <w:top w:val="none" w:sz="0" w:space="0" w:color="auto"/>
        <w:left w:val="none" w:sz="0" w:space="0" w:color="auto"/>
        <w:bottom w:val="none" w:sz="0" w:space="0" w:color="auto"/>
        <w:right w:val="none" w:sz="0" w:space="0" w:color="auto"/>
      </w:divBdr>
      <w:divsChild>
        <w:div w:id="463082131">
          <w:marLeft w:val="0"/>
          <w:marRight w:val="0"/>
          <w:marTop w:val="0"/>
          <w:marBottom w:val="0"/>
          <w:divBdr>
            <w:top w:val="none" w:sz="0" w:space="0" w:color="auto"/>
            <w:left w:val="none" w:sz="0" w:space="0" w:color="auto"/>
            <w:bottom w:val="none" w:sz="0" w:space="0" w:color="auto"/>
            <w:right w:val="none" w:sz="0" w:space="0" w:color="auto"/>
          </w:divBdr>
        </w:div>
        <w:div w:id="649485647">
          <w:marLeft w:val="0"/>
          <w:marRight w:val="0"/>
          <w:marTop w:val="0"/>
          <w:marBottom w:val="0"/>
          <w:divBdr>
            <w:top w:val="none" w:sz="0" w:space="0" w:color="auto"/>
            <w:left w:val="none" w:sz="0" w:space="0" w:color="auto"/>
            <w:bottom w:val="none" w:sz="0" w:space="0" w:color="auto"/>
            <w:right w:val="none" w:sz="0" w:space="0" w:color="auto"/>
          </w:divBdr>
        </w:div>
        <w:div w:id="853811745">
          <w:marLeft w:val="0"/>
          <w:marRight w:val="0"/>
          <w:marTop w:val="0"/>
          <w:marBottom w:val="0"/>
          <w:divBdr>
            <w:top w:val="none" w:sz="0" w:space="0" w:color="auto"/>
            <w:left w:val="none" w:sz="0" w:space="0" w:color="auto"/>
            <w:bottom w:val="none" w:sz="0" w:space="0" w:color="auto"/>
            <w:right w:val="none" w:sz="0" w:space="0" w:color="auto"/>
          </w:divBdr>
        </w:div>
        <w:div w:id="1822037875">
          <w:marLeft w:val="0"/>
          <w:marRight w:val="0"/>
          <w:marTop w:val="0"/>
          <w:marBottom w:val="0"/>
          <w:divBdr>
            <w:top w:val="none" w:sz="0" w:space="0" w:color="auto"/>
            <w:left w:val="none" w:sz="0" w:space="0" w:color="auto"/>
            <w:bottom w:val="none" w:sz="0" w:space="0" w:color="auto"/>
            <w:right w:val="none" w:sz="0" w:space="0" w:color="auto"/>
          </w:divBdr>
        </w:div>
      </w:divsChild>
    </w:div>
    <w:div w:id="906763160">
      <w:bodyDiv w:val="1"/>
      <w:marLeft w:val="0"/>
      <w:marRight w:val="0"/>
      <w:marTop w:val="0"/>
      <w:marBottom w:val="0"/>
      <w:divBdr>
        <w:top w:val="none" w:sz="0" w:space="0" w:color="auto"/>
        <w:left w:val="none" w:sz="0" w:space="0" w:color="auto"/>
        <w:bottom w:val="none" w:sz="0" w:space="0" w:color="auto"/>
        <w:right w:val="none" w:sz="0" w:space="0" w:color="auto"/>
      </w:divBdr>
    </w:div>
    <w:div w:id="1062564743">
      <w:bodyDiv w:val="1"/>
      <w:marLeft w:val="0"/>
      <w:marRight w:val="0"/>
      <w:marTop w:val="0"/>
      <w:marBottom w:val="0"/>
      <w:divBdr>
        <w:top w:val="none" w:sz="0" w:space="0" w:color="auto"/>
        <w:left w:val="none" w:sz="0" w:space="0" w:color="auto"/>
        <w:bottom w:val="none" w:sz="0" w:space="0" w:color="auto"/>
        <w:right w:val="none" w:sz="0" w:space="0" w:color="auto"/>
      </w:divBdr>
    </w:div>
    <w:div w:id="1132863004">
      <w:bodyDiv w:val="1"/>
      <w:marLeft w:val="0"/>
      <w:marRight w:val="0"/>
      <w:marTop w:val="0"/>
      <w:marBottom w:val="0"/>
      <w:divBdr>
        <w:top w:val="none" w:sz="0" w:space="0" w:color="auto"/>
        <w:left w:val="none" w:sz="0" w:space="0" w:color="auto"/>
        <w:bottom w:val="none" w:sz="0" w:space="0" w:color="auto"/>
        <w:right w:val="none" w:sz="0" w:space="0" w:color="auto"/>
      </w:divBdr>
    </w:div>
    <w:div w:id="1400984403">
      <w:bodyDiv w:val="1"/>
      <w:marLeft w:val="0"/>
      <w:marRight w:val="0"/>
      <w:marTop w:val="0"/>
      <w:marBottom w:val="0"/>
      <w:divBdr>
        <w:top w:val="none" w:sz="0" w:space="0" w:color="auto"/>
        <w:left w:val="none" w:sz="0" w:space="0" w:color="auto"/>
        <w:bottom w:val="none" w:sz="0" w:space="0" w:color="auto"/>
        <w:right w:val="none" w:sz="0" w:space="0" w:color="auto"/>
      </w:divBdr>
    </w:div>
    <w:div w:id="1477453175">
      <w:bodyDiv w:val="1"/>
      <w:marLeft w:val="0"/>
      <w:marRight w:val="0"/>
      <w:marTop w:val="0"/>
      <w:marBottom w:val="0"/>
      <w:divBdr>
        <w:top w:val="none" w:sz="0" w:space="0" w:color="auto"/>
        <w:left w:val="none" w:sz="0" w:space="0" w:color="auto"/>
        <w:bottom w:val="none" w:sz="0" w:space="0" w:color="auto"/>
        <w:right w:val="none" w:sz="0" w:space="0" w:color="auto"/>
      </w:divBdr>
    </w:div>
    <w:div w:id="1550606804">
      <w:bodyDiv w:val="1"/>
      <w:marLeft w:val="0"/>
      <w:marRight w:val="0"/>
      <w:marTop w:val="0"/>
      <w:marBottom w:val="0"/>
      <w:divBdr>
        <w:top w:val="none" w:sz="0" w:space="0" w:color="auto"/>
        <w:left w:val="none" w:sz="0" w:space="0" w:color="auto"/>
        <w:bottom w:val="none" w:sz="0" w:space="0" w:color="auto"/>
        <w:right w:val="none" w:sz="0" w:space="0" w:color="auto"/>
      </w:divBdr>
    </w:div>
    <w:div w:id="1575356027">
      <w:bodyDiv w:val="1"/>
      <w:marLeft w:val="0"/>
      <w:marRight w:val="0"/>
      <w:marTop w:val="0"/>
      <w:marBottom w:val="0"/>
      <w:divBdr>
        <w:top w:val="none" w:sz="0" w:space="0" w:color="auto"/>
        <w:left w:val="none" w:sz="0" w:space="0" w:color="auto"/>
        <w:bottom w:val="none" w:sz="0" w:space="0" w:color="auto"/>
        <w:right w:val="none" w:sz="0" w:space="0" w:color="auto"/>
      </w:divBdr>
    </w:div>
    <w:div w:id="1969435505">
      <w:bodyDiv w:val="1"/>
      <w:marLeft w:val="0"/>
      <w:marRight w:val="0"/>
      <w:marTop w:val="0"/>
      <w:marBottom w:val="0"/>
      <w:divBdr>
        <w:top w:val="none" w:sz="0" w:space="0" w:color="auto"/>
        <w:left w:val="none" w:sz="0" w:space="0" w:color="auto"/>
        <w:bottom w:val="none" w:sz="0" w:space="0" w:color="auto"/>
        <w:right w:val="none" w:sz="0" w:space="0" w:color="auto"/>
      </w:divBdr>
    </w:div>
    <w:div w:id="2047245865">
      <w:bodyDiv w:val="1"/>
      <w:marLeft w:val="0"/>
      <w:marRight w:val="0"/>
      <w:marTop w:val="0"/>
      <w:marBottom w:val="0"/>
      <w:divBdr>
        <w:top w:val="none" w:sz="0" w:space="0" w:color="auto"/>
        <w:left w:val="none" w:sz="0" w:space="0" w:color="auto"/>
        <w:bottom w:val="none" w:sz="0" w:space="0" w:color="auto"/>
        <w:right w:val="none" w:sz="0" w:space="0" w:color="auto"/>
      </w:divBdr>
    </w:div>
    <w:div w:id="2058118671">
      <w:bodyDiv w:val="1"/>
      <w:marLeft w:val="0"/>
      <w:marRight w:val="0"/>
      <w:marTop w:val="0"/>
      <w:marBottom w:val="0"/>
      <w:divBdr>
        <w:top w:val="none" w:sz="0" w:space="0" w:color="auto"/>
        <w:left w:val="none" w:sz="0" w:space="0" w:color="auto"/>
        <w:bottom w:val="none" w:sz="0" w:space="0" w:color="auto"/>
        <w:right w:val="none" w:sz="0" w:space="0" w:color="auto"/>
      </w:divBdr>
    </w:div>
    <w:div w:id="2101365725">
      <w:bodyDiv w:val="1"/>
      <w:marLeft w:val="0"/>
      <w:marRight w:val="0"/>
      <w:marTop w:val="0"/>
      <w:marBottom w:val="0"/>
      <w:divBdr>
        <w:top w:val="none" w:sz="0" w:space="0" w:color="auto"/>
        <w:left w:val="none" w:sz="0" w:space="0" w:color="auto"/>
        <w:bottom w:val="none" w:sz="0" w:space="0" w:color="auto"/>
        <w:right w:val="none" w:sz="0" w:space="0" w:color="auto"/>
      </w:divBdr>
    </w:div>
    <w:div w:id="2110007891">
      <w:bodyDiv w:val="1"/>
      <w:marLeft w:val="0"/>
      <w:marRight w:val="0"/>
      <w:marTop w:val="0"/>
      <w:marBottom w:val="0"/>
      <w:divBdr>
        <w:top w:val="none" w:sz="0" w:space="0" w:color="auto"/>
        <w:left w:val="none" w:sz="0" w:space="0" w:color="auto"/>
        <w:bottom w:val="none" w:sz="0" w:space="0" w:color="auto"/>
        <w:right w:val="none" w:sz="0" w:space="0" w:color="auto"/>
      </w:divBdr>
    </w:div>
    <w:div w:id="214384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ringospspc.lt"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eringospspc.lt/"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21143457985184"/>
          <c:y val="0.15826202259635822"/>
          <c:w val="0.60623580309342062"/>
          <c:h val="0.58912067640876242"/>
        </c:manualLayout>
      </c:layout>
      <c:pieChart>
        <c:varyColors val="1"/>
        <c:ser>
          <c:idx val="0"/>
          <c:order val="0"/>
          <c:tx>
            <c:strRef>
              <c:f>Lapas1!$B$1</c:f>
              <c:strCache>
                <c:ptCount val="1"/>
                <c:pt idx="0">
                  <c:v>Pagrindinės veiklos sąnaudos</c:v>
                </c:pt>
              </c:strCache>
            </c:strRef>
          </c:tx>
          <c:spPr>
            <a:ln>
              <a:solidFill>
                <a:schemeClr val="tx2"/>
              </a:solidFill>
            </a:ln>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9C8-44CF-A162-92CC0F870F8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9C8-44CF-A162-92CC0F870F8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59C8-44CF-A162-92CC0F870F8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59C8-44CF-A162-92CC0F870F8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59C8-44CF-A162-92CC0F870F8A}"/>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59C8-44CF-A162-92CC0F870F8A}"/>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59C8-44CF-A162-92CC0F870F8A}"/>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59C8-44CF-A162-92CC0F870F8A}"/>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59C8-44CF-A162-92CC0F870F8A}"/>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59C8-44CF-A162-92CC0F870F8A}"/>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5-59C8-44CF-A162-92CC0F870F8A}"/>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7-59C8-44CF-A162-92CC0F870F8A}"/>
              </c:ext>
            </c:extLst>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9-59C8-44CF-A162-92CC0F870F8A}"/>
              </c:ext>
            </c:extLst>
          </c:dPt>
          <c:dLbls>
            <c:dLbl>
              <c:idx val="0"/>
              <c:layout>
                <c:manualLayout>
                  <c:x val="3.3522698551569944E-3"/>
                  <c:y val="-5.3452572460700475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59C8-44CF-A162-92CC0F870F8A}"/>
                </c:ext>
              </c:extLst>
            </c:dLbl>
            <c:dLbl>
              <c:idx val="1"/>
              <c:layout>
                <c:manualLayout>
                  <c:x val="1.4701301350784067E-2"/>
                  <c:y val="0.37016972878390203"/>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59C8-44CF-A162-92CC0F870F8A}"/>
                </c:ext>
              </c:extLst>
            </c:dLbl>
            <c:dLbl>
              <c:idx val="2"/>
              <c:layout>
                <c:manualLayout>
                  <c:x val="-0.1038065981662606"/>
                  <c:y val="0.29091995932940817"/>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59C8-44CF-A162-92CC0F870F8A}"/>
                </c:ext>
              </c:extLst>
            </c:dLbl>
            <c:dLbl>
              <c:idx val="3"/>
              <c:layout>
                <c:manualLayout>
                  <c:x val="-0.11222104699599117"/>
                  <c:y val="0.24550374465603153"/>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59C8-44CF-A162-92CC0F870F8A}"/>
                </c:ext>
              </c:extLst>
            </c:dLbl>
            <c:dLbl>
              <c:idx val="4"/>
              <c:layout>
                <c:manualLayout>
                  <c:x val="-0.12302041846759205"/>
                  <c:y val="0.15345408065126606"/>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59C8-44CF-A162-92CC0F870F8A}"/>
                </c:ext>
              </c:extLst>
            </c:dLbl>
            <c:dLbl>
              <c:idx val="5"/>
              <c:layout>
                <c:manualLayout>
                  <c:x val="-0.18081630343470748"/>
                  <c:y val="8.147006446889174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59C8-44CF-A162-92CC0F870F8A}"/>
                </c:ext>
              </c:extLst>
            </c:dLbl>
            <c:dLbl>
              <c:idx val="6"/>
              <c:layout>
                <c:manualLayout>
                  <c:x val="-7.2252734577332098E-2"/>
                  <c:y val="-3.6077759783573154E-3"/>
                </c:manualLayout>
              </c:layout>
              <c:numFmt formatCode="0.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dLblPos val="bestFit"/>
              <c:showLegendKey val="1"/>
              <c:showVal val="0"/>
              <c:showCatName val="1"/>
              <c:showSerName val="1"/>
              <c:showPercent val="1"/>
              <c:showBubbleSize val="0"/>
              <c:separator> </c:separator>
              <c:extLst>
                <c:ext xmlns:c15="http://schemas.microsoft.com/office/drawing/2012/chart" uri="{CE6537A1-D6FC-4f65-9D91-7224C49458BB}">
                  <c15:spPr xmlns:c15="http://schemas.microsoft.com/office/drawing/2012/chart">
                    <a:prstGeom prst="borderCallout1">
                      <a:avLst/>
                    </a:prstGeom>
                    <a:noFill/>
                    <a:ln>
                      <a:noFill/>
                    </a:ln>
                  </c15:spPr>
                </c:ext>
                <c:ext xmlns:c16="http://schemas.microsoft.com/office/drawing/2014/chart" uri="{C3380CC4-5D6E-409C-BE32-E72D297353CC}">
                  <c16:uniqueId val="{0000000D-59C8-44CF-A162-92CC0F870F8A}"/>
                </c:ext>
              </c:extLst>
            </c:dLbl>
            <c:dLbl>
              <c:idx val="7"/>
              <c:layout>
                <c:manualLayout>
                  <c:x val="-0.39024971381064927"/>
                  <c:y val="1.1283979573475302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59C8-44CF-A162-92CC0F870F8A}"/>
                </c:ext>
              </c:extLst>
            </c:dLbl>
            <c:dLbl>
              <c:idx val="8"/>
              <c:layout>
                <c:manualLayout>
                  <c:x val="0.21998807363009981"/>
                  <c:y val="-4.4209899294503079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1-59C8-44CF-A162-92CC0F870F8A}"/>
                </c:ext>
              </c:extLst>
            </c:dLbl>
            <c:dLbl>
              <c:idx val="9"/>
              <c:layout>
                <c:manualLayout>
                  <c:x val="2.1518827559490385E-2"/>
                  <c:y val="-8.1986560190614469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3-59C8-44CF-A162-92CC0F870F8A}"/>
                </c:ext>
              </c:extLst>
            </c:dLbl>
            <c:dLbl>
              <c:idx val="10"/>
              <c:layout>
                <c:manualLayout>
                  <c:x val="0.36548301417479767"/>
                  <c:y val="8.060968054668842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59C8-44CF-A162-92CC0F870F8A}"/>
                </c:ext>
              </c:extLst>
            </c:dLbl>
            <c:dLbl>
              <c:idx val="11"/>
              <c:layout>
                <c:manualLayout>
                  <c:x val="-1.1672829785165742E-2"/>
                  <c:y val="7.2106934213868434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7-59C8-44CF-A162-92CC0F870F8A}"/>
                </c:ext>
              </c:extLst>
            </c:dLbl>
            <c:dLbl>
              <c:idx val="12"/>
              <c:layout>
                <c:manualLayout>
                  <c:x val="0.21891521337610576"/>
                  <c:y val="-3.8643778398667908E-2"/>
                </c:manualLayout>
              </c:layout>
              <c:tx>
                <c:rich>
                  <a:bodyPr/>
                  <a:lstStyle/>
                  <a:p>
                    <a:r>
                      <a:rPr lang="lt-LT">
                        <a:solidFill>
                          <a:sysClr val="windowText" lastClr="000000"/>
                        </a:solidFill>
                      </a:rPr>
                      <a:t>Kvalifikacijos kėlimo išlaidos</a:t>
                    </a:r>
                    <a:fld id="{0DE30CDC-E987-47A5-B728-5B97360B1F0E}" type="CATEGORYNAME">
                      <a:rPr lang="en-US">
                        <a:solidFill>
                          <a:sysClr val="windowText" lastClr="000000"/>
                        </a:solidFill>
                      </a:rPr>
                      <a:pPr/>
                      <a:t>[KATEGORIJOS PAVADINIMAS]</a:t>
                    </a:fld>
                    <a:r>
                      <a:rPr lang="en-US">
                        <a:solidFill>
                          <a:sysClr val="windowText" lastClr="000000"/>
                        </a:solidFill>
                      </a:rPr>
                      <a:t> </a:t>
                    </a:r>
                    <a:fld id="{42839E64-A316-4822-8723-5472814C7711}" type="PERCENTAGE">
                      <a:rPr lang="en-US">
                        <a:solidFill>
                          <a:sysClr val="windowText" lastClr="000000"/>
                        </a:solidFill>
                      </a:rPr>
                      <a:pPr/>
                      <a:t>[PROCENTAI]</a:t>
                    </a:fld>
                    <a:endParaRPr lang="en-US">
                      <a:solidFill>
                        <a:sysClr val="windowText" lastClr="000000"/>
                      </a:solidFill>
                    </a:endParaRPr>
                  </a:p>
                </c:rich>
              </c:tx>
              <c:dLblPos val="bestFit"/>
              <c:showLegendKey val="1"/>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9-59C8-44CF-A162-92CC0F870F8A}"/>
                </c:ext>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dLblPos val="bestFit"/>
            <c:showLegendKey val="1"/>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borderCallout1">
                    <a:avLst/>
                  </a:prstGeom>
                  <a:noFill/>
                  <a:ln>
                    <a:noFill/>
                  </a:ln>
                </c15:spPr>
              </c:ext>
            </c:extLst>
          </c:dLbls>
          <c:cat>
            <c:strRef>
              <c:f>Lapas1!$A$2:$A$10</c:f>
              <c:strCache>
                <c:ptCount val="9"/>
                <c:pt idx="0">
                  <c:v>Darbo užmokestis ir socialinis draudimas </c:v>
                </c:pt>
                <c:pt idx="1">
                  <c:v>Turto nusidėvėjimas ir amortizacija </c:v>
                </c:pt>
                <c:pt idx="2">
                  <c:v>Komunalinės ir ryšio paslaugos </c:v>
                </c:pt>
                <c:pt idx="3">
                  <c:v>Išlaidos transporto išlaikymui </c:v>
                </c:pt>
                <c:pt idx="4">
                  <c:v>Paprastojo remonto ir eksploatavimo sąnaudos </c:v>
                </c:pt>
                <c:pt idx="5">
                  <c:v>Sunaudotų atsargų (savikaina) </c:v>
                </c:pt>
                <c:pt idx="6">
                  <c:v>Kitų paslaugų sąnaudos </c:v>
                </c:pt>
                <c:pt idx="7">
                  <c:v>Kitos sąnaudos</c:v>
                </c:pt>
                <c:pt idx="8">
                  <c:v>Nuomos sąnaudos </c:v>
                </c:pt>
              </c:strCache>
            </c:strRef>
          </c:cat>
          <c:val>
            <c:numRef>
              <c:f>Lapas1!$B$2:$B$11</c:f>
              <c:numCache>
                <c:formatCode>General</c:formatCode>
                <c:ptCount val="10"/>
                <c:pt idx="0">
                  <c:v>1185296.3</c:v>
                </c:pt>
                <c:pt idx="1">
                  <c:v>44554.86</c:v>
                </c:pt>
                <c:pt idx="2">
                  <c:v>31920.46</c:v>
                </c:pt>
                <c:pt idx="3">
                  <c:v>21161.96</c:v>
                </c:pt>
                <c:pt idx="4">
                  <c:v>808.44</c:v>
                </c:pt>
                <c:pt idx="5">
                  <c:v>125355.3</c:v>
                </c:pt>
                <c:pt idx="6">
                  <c:v>79226.64</c:v>
                </c:pt>
                <c:pt idx="7">
                  <c:v>1190.6400000000001</c:v>
                </c:pt>
                <c:pt idx="8">
                  <c:v>5708.06</c:v>
                </c:pt>
                <c:pt idx="9">
                  <c:v>2811.2</c:v>
                </c:pt>
              </c:numCache>
            </c:numRef>
          </c:val>
          <c:extLst>
            <c:ext xmlns:c16="http://schemas.microsoft.com/office/drawing/2014/chart" uri="{C3380CC4-5D6E-409C-BE32-E72D297353CC}">
              <c16:uniqueId val="{0000001A-59C8-44CF-A162-92CC0F870F8A}"/>
            </c:ext>
          </c:extLst>
        </c:ser>
        <c:dLbls>
          <c:dLblPos val="ctr"/>
          <c:showLegendKey val="0"/>
          <c:showVal val="0"/>
          <c:showCatName val="1"/>
          <c:showSerName val="0"/>
          <c:showPercent val="0"/>
          <c:showBubbleSize val="0"/>
          <c:showLeaderLines val="1"/>
        </c:dLbls>
        <c:firstSliceAng val="0"/>
      </c:pieChart>
      <c:spPr>
        <a:noFill/>
        <a:ln>
          <a:noFill/>
        </a:ln>
        <a:effectLst/>
      </c:spPr>
    </c:plotArea>
    <c:legend>
      <c:legendPos val="b"/>
      <c:layout>
        <c:manualLayout>
          <c:xMode val="edge"/>
          <c:yMode val="edge"/>
          <c:x val="9.6101198359379386E-2"/>
          <c:y val="0.7689433843057879"/>
          <c:w val="0.806369825993973"/>
          <c:h val="0.2090068580137160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EA6C-BAE2-4BC2-A519-39C68EE1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3649</Words>
  <Characters>24960</Characters>
  <Application>Microsoft Office Word</Application>
  <DocSecurity>0</DocSecurity>
  <Lines>208</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NERINGOS SAVIVALDYBĖS</vt:lpstr>
      <vt:lpstr>NERINGOS SAVIVALDYBĖS</vt:lpstr>
    </vt:vector>
  </TitlesOfParts>
  <Company/>
  <LinksUpToDate>false</LinksUpToDate>
  <CharactersWithSpaces>28552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dc:title>
  <dc:creator>Ieva Šimkutė</dc:creator>
  <cp:lastModifiedBy>Ignė Kriščiūnaitė</cp:lastModifiedBy>
  <cp:revision>3</cp:revision>
  <cp:lastPrinted>2021-03-26T11:46:00Z</cp:lastPrinted>
  <dcterms:created xsi:type="dcterms:W3CDTF">2022-04-14T13:13:00Z</dcterms:created>
  <dcterms:modified xsi:type="dcterms:W3CDTF">2022-04-29T08:32:00Z</dcterms:modified>
</cp:coreProperties>
</file>